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5E620677"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E84C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E16E40">
        <w:rPr>
          <w:b/>
          <w:noProof/>
          <w:sz w:val="24"/>
          <w:lang w:val="en-US"/>
        </w:rPr>
        <w:t>3</w:t>
      </w:r>
      <w:r w:rsidR="009A1A25">
        <w:rPr>
          <w:b/>
          <w:noProof/>
          <w:sz w:val="24"/>
          <w:lang w:val="en-US"/>
        </w:rPr>
        <w:t xml:space="preserve"> bis</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354B60">
        <w:rPr>
          <w:b/>
          <w:noProof/>
          <w:sz w:val="24"/>
          <w:lang w:val="en-US"/>
        </w:rPr>
        <w:t>310956</w:t>
      </w:r>
    </w:p>
    <w:p w14:paraId="015EA4F0" w14:textId="091194F0" w:rsidR="00CD7379" w:rsidRPr="005E0023" w:rsidRDefault="009A1A25" w:rsidP="00CD7379">
      <w:pPr>
        <w:tabs>
          <w:tab w:val="left" w:pos="1985"/>
        </w:tabs>
        <w:rPr>
          <w:bCs/>
          <w:i/>
          <w:iCs/>
          <w:color w:val="2F5496"/>
          <w:sz w:val="24"/>
          <w:lang w:val="en-US"/>
        </w:rPr>
      </w:pPr>
      <w:r>
        <w:rPr>
          <w:rFonts w:ascii="Arial" w:eastAsia="MS Mincho" w:hAnsi="Arial"/>
          <w:b/>
          <w:noProof/>
          <w:sz w:val="24"/>
        </w:rPr>
        <w:t>Xiamen</w:t>
      </w:r>
      <w:r w:rsidR="00E16E40">
        <w:rPr>
          <w:rFonts w:ascii="Arial" w:eastAsia="MS Mincho" w:hAnsi="Arial"/>
          <w:b/>
          <w:noProof/>
          <w:sz w:val="24"/>
        </w:rPr>
        <w:t xml:space="preserve">, </w:t>
      </w:r>
      <w:r>
        <w:rPr>
          <w:rFonts w:ascii="Arial" w:eastAsia="MS Mincho" w:hAnsi="Arial"/>
          <w:b/>
          <w:noProof/>
          <w:sz w:val="24"/>
        </w:rPr>
        <w:t>China</w:t>
      </w:r>
      <w:r w:rsidR="00607FD8" w:rsidRPr="00607FD8">
        <w:rPr>
          <w:rFonts w:ascii="Arial" w:eastAsia="MS Mincho" w:hAnsi="Arial"/>
          <w:b/>
          <w:noProof/>
          <w:sz w:val="24"/>
        </w:rPr>
        <w:t xml:space="preserve">, </w:t>
      </w:r>
      <w:r>
        <w:rPr>
          <w:rFonts w:ascii="Arial" w:eastAsia="MS Mincho" w:hAnsi="Arial"/>
          <w:b/>
          <w:noProof/>
          <w:sz w:val="24"/>
        </w:rPr>
        <w:t>Oct</w:t>
      </w:r>
      <w:r w:rsidR="00607FD8" w:rsidRPr="00607FD8">
        <w:rPr>
          <w:rFonts w:ascii="Arial" w:eastAsia="MS Mincho" w:hAnsi="Arial"/>
          <w:b/>
          <w:noProof/>
          <w:sz w:val="24"/>
        </w:rPr>
        <w:t xml:space="preserve"> </w:t>
      </w:r>
      <w:r>
        <w:rPr>
          <w:rFonts w:ascii="Arial" w:eastAsia="MS Mincho" w:hAnsi="Arial"/>
          <w:b/>
          <w:noProof/>
          <w:sz w:val="24"/>
        </w:rPr>
        <w:t>9</w:t>
      </w:r>
      <w:r w:rsidR="00607FD8" w:rsidRPr="00607FD8">
        <w:rPr>
          <w:rFonts w:ascii="Arial" w:eastAsia="MS Mincho" w:hAnsi="Arial"/>
          <w:b/>
          <w:noProof/>
          <w:sz w:val="24"/>
        </w:rPr>
        <w:t>-</w:t>
      </w:r>
      <w:r>
        <w:rPr>
          <w:rFonts w:ascii="Arial" w:eastAsia="MS Mincho" w:hAnsi="Arial"/>
          <w:b/>
          <w:noProof/>
          <w:sz w:val="24"/>
        </w:rPr>
        <w:t>13</w:t>
      </w:r>
      <w:r w:rsidR="00607FD8" w:rsidRPr="00607FD8">
        <w:rPr>
          <w:rFonts w:ascii="Arial" w:eastAsia="MS Mincho" w:hAnsi="Arial"/>
          <w:b/>
          <w:noProof/>
          <w:sz w:val="24"/>
        </w:rPr>
        <w:t>, 2023</w:t>
      </w:r>
      <w:r w:rsidR="00CD7379">
        <w:rPr>
          <w:rFonts w:ascii="Arial" w:eastAsia="MS Mincho" w:hAnsi="Arial"/>
          <w:b/>
          <w:noProof/>
          <w:sz w:val="24"/>
        </w:rPr>
        <w:tab/>
        <w:t xml:space="preserve">     </w:t>
      </w:r>
    </w:p>
    <w:p w14:paraId="25DAFCD2" w14:textId="6E0CF181" w:rsidR="00262EDD" w:rsidRPr="005E0023"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EDFD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023">
        <w:rPr>
          <w:b/>
          <w:sz w:val="24"/>
          <w:lang w:val="en-US"/>
        </w:rPr>
        <w:t>Agenda item:</w:t>
      </w:r>
      <w:r w:rsidRPr="005E0023">
        <w:rPr>
          <w:sz w:val="24"/>
          <w:lang w:val="en-US"/>
        </w:rPr>
        <w:tab/>
        <w:t xml:space="preserve">    </w:t>
      </w:r>
      <w:r w:rsidR="00A45319" w:rsidRPr="005E0023">
        <w:rPr>
          <w:sz w:val="24"/>
          <w:lang w:val="en-US"/>
        </w:rPr>
        <w:t>7</w:t>
      </w:r>
      <w:r w:rsidRPr="005E0023">
        <w:rPr>
          <w:sz w:val="24"/>
          <w:lang w:val="en-US"/>
        </w:rPr>
        <w:t>.3.</w:t>
      </w:r>
      <w:r w:rsidR="00C76E5B" w:rsidRPr="005E0023">
        <w:rPr>
          <w:sz w:val="24"/>
          <w:lang w:val="en-US"/>
        </w:rPr>
        <w:t>2</w:t>
      </w:r>
      <w:r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F0385D">
            <w:pPr>
              <w:numPr>
                <w:ilvl w:val="0"/>
                <w:numId w:val="3"/>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665E14DE" w14:textId="00313E91" w:rsidR="008E5947" w:rsidRDefault="008E5947" w:rsidP="005B6108">
      <w:pPr>
        <w:spacing w:after="0"/>
      </w:pPr>
      <w:r>
        <w:t>Some progress has been made last meeting with the following agreed</w:t>
      </w:r>
      <w:r w:rsidR="00280F5B">
        <w:t>:</w:t>
      </w:r>
    </w:p>
    <w:p w14:paraId="288DCD58" w14:textId="77777777" w:rsidR="00280F5B" w:rsidRPr="004975A7" w:rsidRDefault="00280F5B" w:rsidP="00280F5B">
      <w:pPr>
        <w:pStyle w:val="Doc-text2"/>
        <w:pBdr>
          <w:top w:val="single" w:sz="4" w:space="1" w:color="auto"/>
          <w:left w:val="single" w:sz="4" w:space="31" w:color="auto"/>
          <w:bottom w:val="single" w:sz="4" w:space="1" w:color="auto"/>
          <w:right w:val="single" w:sz="4" w:space="4" w:color="auto"/>
        </w:pBdr>
        <w:rPr>
          <w:b/>
          <w:bCs/>
          <w:szCs w:val="20"/>
        </w:rPr>
      </w:pPr>
      <w:r w:rsidRPr="004975A7">
        <w:rPr>
          <w:b/>
          <w:bCs/>
          <w:szCs w:val="20"/>
        </w:rPr>
        <w:t>Agreement</w:t>
      </w:r>
      <w:r>
        <w:rPr>
          <w:b/>
          <w:bCs/>
          <w:szCs w:val="20"/>
        </w:rPr>
        <w:t>s</w:t>
      </w:r>
      <w:r w:rsidRPr="004975A7">
        <w:rPr>
          <w:b/>
          <w:bCs/>
          <w:szCs w:val="20"/>
        </w:rPr>
        <w:t>:</w:t>
      </w:r>
    </w:p>
    <w:p w14:paraId="630B7C23" w14:textId="77777777" w:rsidR="00280F5B" w:rsidRDefault="00280F5B" w:rsidP="00280F5B">
      <w:pPr>
        <w:pStyle w:val="Doc-text2"/>
        <w:pBdr>
          <w:top w:val="single" w:sz="4" w:space="1" w:color="auto"/>
          <w:left w:val="single" w:sz="4" w:space="31" w:color="auto"/>
          <w:bottom w:val="single" w:sz="4" w:space="1" w:color="auto"/>
          <w:right w:val="single" w:sz="4" w:space="4" w:color="auto"/>
        </w:pBdr>
        <w:rPr>
          <w:szCs w:val="20"/>
        </w:rPr>
      </w:pPr>
      <w:r>
        <w:rPr>
          <w:szCs w:val="20"/>
        </w:rPr>
        <w:t>1</w:t>
      </w:r>
      <w:r>
        <w:rPr>
          <w:szCs w:val="20"/>
        </w:rPr>
        <w:tab/>
        <w:t xml:space="preserve">Activation/deactivation is per serving cell.  FFS if the configuration is per cell or per MAC entity </w:t>
      </w:r>
    </w:p>
    <w:p w14:paraId="4AA63C61"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2</w:t>
      </w:r>
      <w:r>
        <w:tab/>
      </w:r>
      <w:r w:rsidRPr="00AC6564">
        <w:t>RAN2 will reuse the start timer formula of the onDurationTimer from UE C-DRX (including SlotOffset) to specify the start of cellDTX-onDurationTimer (and cellDRX-onDurationTimer) in 38.321.</w:t>
      </w:r>
    </w:p>
    <w:p w14:paraId="66674421" w14:textId="77777777" w:rsidR="00280F5B" w:rsidRPr="00400451" w:rsidRDefault="00280F5B" w:rsidP="00280F5B">
      <w:pPr>
        <w:pStyle w:val="Doc-text2"/>
        <w:pBdr>
          <w:top w:val="single" w:sz="4" w:space="1" w:color="auto"/>
          <w:left w:val="single" w:sz="4" w:space="31" w:color="auto"/>
          <w:bottom w:val="single" w:sz="4" w:space="1" w:color="auto"/>
          <w:right w:val="single" w:sz="4" w:space="4" w:color="auto"/>
        </w:pBdr>
      </w:pPr>
      <w:r>
        <w:t>3</w:t>
      </w:r>
      <w:r>
        <w:tab/>
      </w: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22AD9F99"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rsidRPr="00400451">
        <w:tab/>
        <w:t xml:space="preserve">Understanding </w:t>
      </w:r>
      <w:r>
        <w:t xml:space="preserve">is </w:t>
      </w:r>
      <w:r w:rsidRPr="00400451">
        <w:t>that alignment means that the cell DTX/DRX and C-DRX periodicity should be multiple of each other.   FFS if we anything needs to be specified in stage 3 (i.e. in IE description)</w:t>
      </w:r>
    </w:p>
    <w:p w14:paraId="79D082DA"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4</w:t>
      </w:r>
      <w:r>
        <w:tab/>
      </w:r>
      <w:r w:rsidRPr="00AC6564">
        <w:t>As a baseline legacy C-DRX reconfiguration is used to change UE C-DRX configuration once Cell DTX/DRX is activated/deactivated.</w:t>
      </w:r>
    </w:p>
    <w:p w14:paraId="4F38CFF8" w14:textId="77777777" w:rsidR="00280F5B" w:rsidRPr="00AC6564" w:rsidRDefault="00280F5B" w:rsidP="00280F5B">
      <w:pPr>
        <w:pStyle w:val="Doc-text2"/>
        <w:pBdr>
          <w:top w:val="single" w:sz="4" w:space="1" w:color="auto"/>
          <w:left w:val="single" w:sz="4" w:space="31" w:color="auto"/>
          <w:bottom w:val="single" w:sz="4" w:space="1" w:color="auto"/>
          <w:right w:val="single" w:sz="4" w:space="4" w:color="auto"/>
        </w:pBdr>
      </w:pPr>
      <w:r>
        <w:t>5</w:t>
      </w:r>
      <w:r>
        <w:tab/>
      </w:r>
      <w:r w:rsidRPr="00AC6564">
        <w:t xml:space="preserve">RAN2 specifies </w:t>
      </w:r>
      <w:r w:rsidRPr="00AC6564">
        <w:rPr>
          <w:i/>
        </w:rPr>
        <w:t>cellDTX-onDurationTimer</w:t>
      </w:r>
      <w:r w:rsidRPr="00AC6564">
        <w:t xml:space="preserve"> (and </w:t>
      </w:r>
      <w:r w:rsidRPr="00AC6564">
        <w:rPr>
          <w:i/>
        </w:rPr>
        <w:t>cellDRX-onDurationTimer</w:t>
      </w:r>
      <w:r w:rsidRPr="00AC6564">
        <w:t xml:space="preserve">) to have the same value range as UE C-DRX on-duration timer. </w:t>
      </w:r>
    </w:p>
    <w:p w14:paraId="518F30CA"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6</w:t>
      </w:r>
      <w:r>
        <w:tab/>
      </w:r>
      <w:r w:rsidRPr="00AC6564">
        <w:t xml:space="preserve">RAN2 specifies </w:t>
      </w:r>
      <w:r w:rsidRPr="00AC6564">
        <w:rPr>
          <w:i/>
        </w:rPr>
        <w:t>cellDTX-Cycle</w:t>
      </w:r>
      <w:r w:rsidRPr="00AC6564">
        <w:t xml:space="preserve"> (and </w:t>
      </w:r>
      <w:r w:rsidRPr="00AC6564">
        <w:rPr>
          <w:i/>
        </w:rPr>
        <w:t>cellDRX-Cycle</w:t>
      </w:r>
      <w:r w:rsidRPr="00AC6564">
        <w:t xml:space="preserve">) to have the same value range as UE C-DRX Long cycle. </w:t>
      </w:r>
    </w:p>
    <w:p w14:paraId="7D4F8B19"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7</w:t>
      </w:r>
      <w:r>
        <w:tab/>
      </w:r>
      <w:r w:rsidRPr="000F1392">
        <w:t>Separate DTX and DRX configuration means that the features can be enabled separately</w:t>
      </w:r>
      <w:r>
        <w:t xml:space="preserve"> (i.e. Cell DTX can be configured without Cell DRX)</w:t>
      </w:r>
    </w:p>
    <w:p w14:paraId="6F98367D"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8</w:t>
      </w:r>
      <w:r>
        <w:tab/>
      </w:r>
      <w:r w:rsidRPr="00FB6F55">
        <w:t>On-duration and Cycle parameters are common between cell DTX and DRX</w:t>
      </w:r>
      <w:r>
        <w:t xml:space="preserve">, when both are configured.  FFS if we have </w:t>
      </w:r>
      <w:r w:rsidRPr="00AC6564">
        <w:t xml:space="preserve">different </w:t>
      </w:r>
      <w:r w:rsidRPr="00AC6564">
        <w:rPr>
          <w:i/>
        </w:rPr>
        <w:t>start offset</w:t>
      </w:r>
      <w:r w:rsidRPr="00AC6564">
        <w:t xml:space="preserve"> configuration for cell DTX and cell DRX</w:t>
      </w:r>
    </w:p>
    <w:p w14:paraId="3D6F55B7"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9</w:t>
      </w:r>
      <w:r>
        <w:tab/>
      </w:r>
      <w:r w:rsidRPr="00AC6564">
        <w:t xml:space="preserve">RAN2 </w:t>
      </w:r>
      <w:r>
        <w:t>will not</w:t>
      </w:r>
      <w:r w:rsidRPr="00AC6564">
        <w:t xml:space="preserve"> introduce a MAC CE for cell DTX/DRX (de)activation. </w:t>
      </w:r>
      <w:r>
        <w:t xml:space="preserve"> </w:t>
      </w:r>
    </w:p>
    <w:p w14:paraId="73383481" w14:textId="77777777" w:rsidR="00280F5B" w:rsidRDefault="00280F5B" w:rsidP="00280F5B">
      <w:pPr>
        <w:pStyle w:val="Doc-text2"/>
        <w:pBdr>
          <w:top w:val="single" w:sz="4" w:space="1" w:color="auto"/>
          <w:left w:val="single" w:sz="4" w:space="31" w:color="auto"/>
          <w:bottom w:val="single" w:sz="4" w:space="1" w:color="auto"/>
          <w:right w:val="single" w:sz="4" w:space="4" w:color="auto"/>
        </w:pBdr>
      </w:pPr>
      <w:r>
        <w:t>10</w:t>
      </w:r>
      <w:r>
        <w:tab/>
        <w:t>Confirm working assumption, w</w:t>
      </w:r>
      <w:r w:rsidRPr="00AC6564">
        <w:t>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4E432FB3" w14:textId="77777777" w:rsidR="00280F5B" w:rsidRPr="00AC6564" w:rsidRDefault="00280F5B" w:rsidP="00280F5B">
      <w:pPr>
        <w:pStyle w:val="Doc-text2"/>
        <w:pBdr>
          <w:top w:val="single" w:sz="4" w:space="1" w:color="auto"/>
          <w:left w:val="single" w:sz="4" w:space="31" w:color="auto"/>
          <w:bottom w:val="single" w:sz="4" w:space="1" w:color="auto"/>
          <w:right w:val="single" w:sz="4" w:space="4" w:color="auto"/>
        </w:pBdr>
      </w:pPr>
      <w:r w:rsidRPr="00FD3E2B">
        <w:t>11</w:t>
      </w:r>
      <w:r w:rsidRPr="00FD3E2B">
        <w:tab/>
        <w:t>We focus on the case where DTX in RRC can only be configured when C-DRX is configured.  We will not optimize for the case where C-DRX is not configured.</w:t>
      </w:r>
    </w:p>
    <w:p w14:paraId="55473A20" w14:textId="77777777" w:rsidR="00280F5B" w:rsidRDefault="00280F5B" w:rsidP="005B6108">
      <w:pPr>
        <w:spacing w:after="0"/>
      </w:pPr>
    </w:p>
    <w:p w14:paraId="37512A18" w14:textId="2DC74C8E" w:rsidR="008E5947" w:rsidRDefault="00D770E3" w:rsidP="005B6108">
      <w:pPr>
        <w:spacing w:after="0"/>
      </w:pPr>
      <w:r>
        <w:t xml:space="preserve">The 38.331 rapporteur summarized the open issues in Cell DTX/DRX as follows: </w:t>
      </w:r>
    </w:p>
    <w:tbl>
      <w:tblPr>
        <w:tblStyle w:val="TableGrid"/>
        <w:tblW w:w="0" w:type="auto"/>
        <w:tblLook w:val="04A0" w:firstRow="1" w:lastRow="0" w:firstColumn="1" w:lastColumn="0" w:noHBand="0" w:noVBand="1"/>
      </w:tblPr>
      <w:tblGrid>
        <w:gridCol w:w="9631"/>
      </w:tblGrid>
      <w:tr w:rsidR="00D770E3" w14:paraId="10AD71F7" w14:textId="77777777" w:rsidTr="00D770E3">
        <w:tc>
          <w:tcPr>
            <w:tcW w:w="9631" w:type="dxa"/>
          </w:tcPr>
          <w:p w14:paraId="1C053A93" w14:textId="77777777" w:rsidR="00D770E3" w:rsidRDefault="00D770E3" w:rsidP="00D770E3">
            <w:pPr>
              <w:pStyle w:val="ListParagraph"/>
              <w:numPr>
                <w:ilvl w:val="0"/>
                <w:numId w:val="39"/>
              </w:numPr>
              <w:spacing w:after="0"/>
              <w:contextualSpacing w:val="0"/>
              <w:rPr>
                <w:u w:val="single"/>
              </w:rPr>
            </w:pPr>
            <w:r>
              <w:rPr>
                <w:u w:val="single"/>
              </w:rPr>
              <w:t>Cell DTX/DRX</w:t>
            </w:r>
          </w:p>
          <w:p w14:paraId="0FA4D14D" w14:textId="77777777" w:rsidR="00D770E3" w:rsidRDefault="00D770E3" w:rsidP="00D770E3">
            <w:pPr>
              <w:rPr>
                <w:b/>
                <w:bCs/>
                <w:u w:val="single"/>
              </w:rPr>
            </w:pPr>
            <w:r>
              <w:rPr>
                <w:b/>
                <w:bCs/>
                <w:u w:val="single"/>
              </w:rPr>
              <w:t>Issue 1-1:</w:t>
            </w:r>
            <w:r>
              <w:rPr>
                <w:b/>
                <w:bCs/>
              </w:rPr>
              <w:t xml:space="preserve"> Configuration of cell DTX/DRX per serving cell vs per MAC entity.</w:t>
            </w:r>
          </w:p>
          <w:p w14:paraId="40FE3DC8" w14:textId="77777777" w:rsidR="00D770E3" w:rsidRDefault="00D770E3" w:rsidP="00D770E3">
            <w:pPr>
              <w:rPr>
                <w:b/>
                <w:bCs/>
              </w:rPr>
            </w:pPr>
            <w:r>
              <w:rPr>
                <w:b/>
                <w:bCs/>
                <w:u w:val="single"/>
              </w:rPr>
              <w:lastRenderedPageBreak/>
              <w:t>Issue 1-2:</w:t>
            </w:r>
            <w:r>
              <w:rPr>
                <w:b/>
                <w:bCs/>
              </w:rPr>
              <w:t xml:space="preserve"> Explicit vs implicit activation based on RRC and relation to L1 activation (how UE derives NW L1 capability and is there a need of explicit RRC indication that the NW will use L1).</w:t>
            </w:r>
          </w:p>
          <w:p w14:paraId="7494EE15" w14:textId="77777777" w:rsidR="00D770E3" w:rsidRDefault="00D770E3" w:rsidP="00D770E3">
            <w:pPr>
              <w:rPr>
                <w:b/>
                <w:bCs/>
              </w:rPr>
            </w:pPr>
            <w:r>
              <w:rPr>
                <w:b/>
                <w:bCs/>
                <w:u w:val="single"/>
              </w:rPr>
              <w:t>Issue 1-3:</w:t>
            </w:r>
            <w:r>
              <w:rPr>
                <w:b/>
                <w:bCs/>
              </w:rPr>
              <w:t xml:space="preserve"> Is deactivation by RRC performed only by deconfiguration, or should we have an explicit RRC deactivation without deconfiguration option (to later activate the same configuration by RRC).</w:t>
            </w:r>
          </w:p>
          <w:p w14:paraId="107E7FF6" w14:textId="77777777" w:rsidR="00D770E3" w:rsidRDefault="00D770E3" w:rsidP="00D770E3">
            <w:pPr>
              <w:rPr>
                <w:b/>
                <w:bCs/>
              </w:rPr>
            </w:pPr>
            <w:r>
              <w:rPr>
                <w:b/>
                <w:bCs/>
                <w:u w:val="single"/>
              </w:rPr>
              <w:t>Issue 1-4:</w:t>
            </w:r>
            <w:r>
              <w:rPr>
                <w:b/>
                <w:bCs/>
              </w:rPr>
              <w:t xml:space="preserve"> Is the stage 3 alignment description needed.</w:t>
            </w:r>
          </w:p>
          <w:p w14:paraId="5FFFBC3C" w14:textId="77777777" w:rsidR="00D770E3" w:rsidRDefault="00D770E3" w:rsidP="00D770E3">
            <w:r>
              <w:t>Based on the following agreement:</w:t>
            </w:r>
          </w:p>
          <w:p w14:paraId="70E528A7" w14:textId="77777777" w:rsidR="00D770E3" w:rsidRDefault="00D770E3" w:rsidP="00D770E3">
            <w:pPr>
              <w:rPr>
                <w:i/>
                <w:iCs/>
              </w:rPr>
            </w:pPr>
            <w:r>
              <w:rPr>
                <w:i/>
                <w:iCs/>
              </w:rPr>
              <w:t xml:space="preserve">Understanding is that alignment means that the cell DTX/DRX and C-DRX periodicity should be multiple of each other.   </w:t>
            </w:r>
            <w:r>
              <w:rPr>
                <w:i/>
                <w:iCs/>
                <w:highlight w:val="yellow"/>
              </w:rPr>
              <w:t>FFS if we anything needs to be specified in stage 3 (i.e. in IE description)</w:t>
            </w:r>
          </w:p>
          <w:p w14:paraId="22558D39" w14:textId="77777777" w:rsidR="00D770E3" w:rsidRDefault="00D770E3" w:rsidP="00D770E3">
            <w:pPr>
              <w:rPr>
                <w:b/>
                <w:bCs/>
              </w:rPr>
            </w:pPr>
            <w:r>
              <w:rPr>
                <w:b/>
                <w:bCs/>
                <w:u w:val="single"/>
              </w:rPr>
              <w:t>Issue 1-5:</w:t>
            </w:r>
            <w:r>
              <w:rPr>
                <w:b/>
                <w:bCs/>
              </w:rPr>
              <w:t xml:space="preserve"> Whether the start offset (and slot offset) configuration should be the same for cell DTX and cell DRX.</w:t>
            </w:r>
          </w:p>
          <w:p w14:paraId="4717959B" w14:textId="77777777" w:rsidR="00D770E3" w:rsidRDefault="00D770E3" w:rsidP="00D770E3">
            <w:r>
              <w:t xml:space="preserve">Based on the following agreement: </w:t>
            </w:r>
          </w:p>
          <w:p w14:paraId="6ED3233D" w14:textId="77777777" w:rsidR="00D770E3" w:rsidRDefault="00D770E3" w:rsidP="00D770E3">
            <w:pPr>
              <w:rPr>
                <w:i/>
                <w:iCs/>
              </w:rPr>
            </w:pPr>
            <w:r>
              <w:rPr>
                <w:i/>
                <w:iCs/>
              </w:rPr>
              <w:t xml:space="preserve">On-duration and Cycle parameters are common between cell DTX and DRX, when both are configured.  </w:t>
            </w:r>
            <w:r>
              <w:rPr>
                <w:i/>
                <w:iCs/>
                <w:highlight w:val="yellow"/>
              </w:rPr>
              <w:t>FFS if we have different start offset configuration for cell DTX and cell DRX</w:t>
            </w:r>
          </w:p>
          <w:p w14:paraId="34FBC363" w14:textId="77777777" w:rsidR="00D770E3" w:rsidRDefault="00D770E3" w:rsidP="00D770E3">
            <w:pPr>
              <w:rPr>
                <w:b/>
                <w:bCs/>
              </w:rPr>
            </w:pPr>
            <w:r>
              <w:rPr>
                <w:b/>
                <w:bCs/>
                <w:u w:val="single"/>
              </w:rPr>
              <w:t>Issue 1-6:</w:t>
            </w:r>
            <w:r>
              <w:rPr>
                <w:b/>
                <w:bCs/>
              </w:rPr>
              <w:t xml:space="preserve"> Whether standalone cell DRX is needed.</w:t>
            </w:r>
          </w:p>
          <w:p w14:paraId="398379EB" w14:textId="77777777" w:rsidR="00D770E3" w:rsidRDefault="00D770E3" w:rsidP="00D770E3">
            <w:r>
              <w:t>If the start offset is decided to be the same and based on the following agreement:</w:t>
            </w:r>
          </w:p>
          <w:p w14:paraId="03E8F4C1" w14:textId="77777777" w:rsidR="00D770E3" w:rsidRDefault="00D770E3" w:rsidP="00D770E3">
            <w:pPr>
              <w:rPr>
                <w:i/>
                <w:iCs/>
              </w:rPr>
            </w:pPr>
            <w:r>
              <w:rPr>
                <w:i/>
                <w:iCs/>
              </w:rPr>
              <w:t>Separate DTX and DRX configuration means that the features can be enabled separately (</w:t>
            </w:r>
            <w:r>
              <w:rPr>
                <w:i/>
                <w:iCs/>
                <w:highlight w:val="yellow"/>
              </w:rPr>
              <w:t>i.e. Cell DTX can be configured without Cell DRX</w:t>
            </w:r>
            <w:r>
              <w:rPr>
                <w:i/>
                <w:iCs/>
              </w:rPr>
              <w:t>)</w:t>
            </w:r>
          </w:p>
          <w:p w14:paraId="1B02556D" w14:textId="77777777" w:rsidR="00D770E3" w:rsidRDefault="00D770E3" w:rsidP="00D770E3">
            <w:r>
              <w:t>The rapporteur’s understanding is that we can remove the explicit cell DRX configuration and rely on 1 bit in the cell DTX config to signal whether cell DRX is configured simultaneously or not.</w:t>
            </w:r>
          </w:p>
          <w:p w14:paraId="4393EABF" w14:textId="77777777" w:rsidR="00D770E3" w:rsidRDefault="00D770E3" w:rsidP="00D770E3">
            <w:pPr>
              <w:rPr>
                <w:b/>
                <w:bCs/>
                <w:u w:val="single"/>
              </w:rPr>
            </w:pPr>
            <w:r>
              <w:rPr>
                <w:b/>
                <w:bCs/>
                <w:u w:val="single"/>
              </w:rPr>
              <w:t>Issue 1-7:</w:t>
            </w:r>
            <w:r>
              <w:rPr>
                <w:b/>
                <w:bCs/>
              </w:rPr>
              <w:t xml:space="preserve"> Whether the fields in </w:t>
            </w:r>
            <w:r>
              <w:rPr>
                <w:b/>
                <w:bCs/>
                <w:i/>
                <w:iCs/>
              </w:rPr>
              <w:t>cellDTX-config</w:t>
            </w:r>
            <w:r>
              <w:rPr>
                <w:b/>
                <w:bCs/>
              </w:rPr>
              <w:t xml:space="preserve"> should be optional or mandatory.</w:t>
            </w:r>
          </w:p>
          <w:p w14:paraId="1CA18B6A" w14:textId="77777777" w:rsidR="00D770E3" w:rsidRDefault="00D770E3" w:rsidP="00D770E3">
            <w:pPr>
              <w:rPr>
                <w:b/>
                <w:bCs/>
                <w:u w:val="single"/>
              </w:rPr>
            </w:pPr>
            <w:r>
              <w:rPr>
                <w:b/>
                <w:bCs/>
                <w:u w:val="single"/>
              </w:rPr>
              <w:t>Issue 1-8:</w:t>
            </w:r>
            <w:r>
              <w:rPr>
                <w:b/>
                <w:bCs/>
              </w:rPr>
              <w:t xml:space="preserve"> Consider a simplification of cell DTX/DRX RRC configuration IE once issues 1-5, 1-6 and 1-7 are resolved.</w:t>
            </w:r>
          </w:p>
          <w:p w14:paraId="7C6E15CE" w14:textId="77777777" w:rsidR="00D770E3" w:rsidRDefault="00D770E3" w:rsidP="00D770E3">
            <w:pPr>
              <w:rPr>
                <w:b/>
                <w:bCs/>
              </w:rPr>
            </w:pPr>
            <w:r>
              <w:rPr>
                <w:b/>
                <w:bCs/>
                <w:u w:val="single"/>
              </w:rPr>
              <w:t>Issue 1-9:</w:t>
            </w:r>
            <w:r>
              <w:rPr>
                <w:b/>
                <w:bCs/>
              </w:rPr>
              <w:t xml:space="preserve"> Whether to capture in RRC that the focus was on the case where cell DTX in RRC can only be configured when C-DRX is configured.</w:t>
            </w:r>
          </w:p>
          <w:p w14:paraId="264777CC" w14:textId="77777777" w:rsidR="00D770E3" w:rsidRDefault="00D770E3" w:rsidP="00D770E3">
            <w:pPr>
              <w:rPr>
                <w:b/>
                <w:bCs/>
              </w:rPr>
            </w:pPr>
            <w:r>
              <w:rPr>
                <w:b/>
                <w:bCs/>
                <w:u w:val="single"/>
              </w:rPr>
              <w:t>Issue 1-10:</w:t>
            </w:r>
            <w:r>
              <w:rPr>
                <w:b/>
                <w:bCs/>
              </w:rPr>
              <w:t xml:space="preserve"> Whether we specify impact to the dual C-DRX case (SCell with different onDuration/inactivity timers).</w:t>
            </w:r>
          </w:p>
          <w:p w14:paraId="1ECB9F9C" w14:textId="77777777" w:rsidR="00D770E3" w:rsidRDefault="00D770E3" w:rsidP="00D770E3">
            <w:r>
              <w:t>This is only applicable to secondary DRX configuration in the CA scenario.</w:t>
            </w:r>
          </w:p>
          <w:p w14:paraId="04B6D6A1" w14:textId="77777777" w:rsidR="00D770E3" w:rsidRDefault="00D770E3" w:rsidP="00D770E3">
            <w:pPr>
              <w:rPr>
                <w:b/>
                <w:bCs/>
              </w:rPr>
            </w:pPr>
            <w:r>
              <w:rPr>
                <w:b/>
                <w:bCs/>
                <w:u w:val="single"/>
              </w:rPr>
              <w:t>Issue 1-11:</w:t>
            </w:r>
            <w:r>
              <w:rPr>
                <w:b/>
                <w:bCs/>
              </w:rPr>
              <w:t xml:space="preserve"> Whether multiple configurations of cell DTX or DRX will be supported.</w:t>
            </w:r>
          </w:p>
          <w:p w14:paraId="75547F61" w14:textId="77777777" w:rsidR="00D770E3" w:rsidRDefault="00D770E3" w:rsidP="00D770E3">
            <w:r>
              <w:t>The current design assumes a single configuration of cell DTX/DRX. We should decide on the FFS from RAN2#121:</w:t>
            </w:r>
          </w:p>
          <w:p w14:paraId="45A7A27A" w14:textId="77777777" w:rsidR="00D770E3" w:rsidRDefault="00D770E3" w:rsidP="00D770E3">
            <w:pPr>
              <w:rPr>
                <w:i/>
                <w:iCs/>
              </w:rPr>
            </w:pPr>
            <w:r>
              <w:rPr>
                <w:i/>
                <w:iCs/>
              </w:rPr>
              <w:t xml:space="preserve">Confirm study item agreement that we can have separate DTX and DRX configuration.   We will focus on designing DTX/DRX for at least single configuration.  </w:t>
            </w:r>
            <w:r>
              <w:rPr>
                <w:i/>
                <w:iCs/>
                <w:highlight w:val="yellow"/>
              </w:rPr>
              <w:t>FFS whether multiple configuration of cell DTX or DRX will be supported.</w:t>
            </w:r>
            <w:r>
              <w:rPr>
                <w:i/>
                <w:iCs/>
              </w:rPr>
              <w:t xml:space="preserve">  </w:t>
            </w:r>
          </w:p>
          <w:p w14:paraId="461437CC" w14:textId="4B10EE13" w:rsidR="00D770E3" w:rsidRDefault="00D770E3" w:rsidP="00D770E3">
            <w:pPr>
              <w:spacing w:after="0"/>
            </w:pPr>
            <w:r>
              <w:rPr>
                <w:b/>
                <w:bCs/>
                <w:u w:val="single"/>
              </w:rPr>
              <w:t>Issue 1-12:</w:t>
            </w:r>
            <w:r>
              <w:rPr>
                <w:b/>
                <w:bCs/>
              </w:rPr>
              <w:t xml:space="preserve"> Whether to change </w:t>
            </w:r>
            <w:r>
              <w:rPr>
                <w:b/>
                <w:bCs/>
                <w:i/>
                <w:iCs/>
              </w:rPr>
              <w:t>cellBarredNES</w:t>
            </w:r>
            <w:r>
              <w:rPr>
                <w:b/>
                <w:bCs/>
              </w:rPr>
              <w:t xml:space="preserve"> to a single ENUM value</w:t>
            </w:r>
          </w:p>
        </w:tc>
      </w:tr>
    </w:tbl>
    <w:p w14:paraId="40A0B562" w14:textId="77777777" w:rsidR="00D770E3" w:rsidRDefault="00D770E3" w:rsidP="005B6108">
      <w:pPr>
        <w:spacing w:after="0"/>
      </w:pPr>
    </w:p>
    <w:p w14:paraId="4C737923" w14:textId="77777777" w:rsidR="00D770E3" w:rsidRDefault="00D770E3" w:rsidP="005B6108">
      <w:pPr>
        <w:spacing w:after="0"/>
      </w:pPr>
    </w:p>
    <w:p w14:paraId="2DE216A8" w14:textId="261F05A1" w:rsidR="00D770E3" w:rsidRDefault="00D770E3" w:rsidP="005B6108">
      <w:pPr>
        <w:spacing w:after="0"/>
      </w:pPr>
      <w:r>
        <w:t>The 38.321 rapporteur summarized the open issues in cell DTX/DRX as follows:</w:t>
      </w:r>
    </w:p>
    <w:p w14:paraId="01350F48" w14:textId="77777777" w:rsidR="00D770E3" w:rsidRDefault="00D770E3" w:rsidP="005B6108">
      <w:pPr>
        <w:spacing w:after="0"/>
      </w:pPr>
    </w:p>
    <w:tbl>
      <w:tblPr>
        <w:tblStyle w:val="TableGrid"/>
        <w:tblW w:w="0" w:type="auto"/>
        <w:tblLook w:val="04A0" w:firstRow="1" w:lastRow="0" w:firstColumn="1" w:lastColumn="0" w:noHBand="0" w:noVBand="1"/>
      </w:tblPr>
      <w:tblGrid>
        <w:gridCol w:w="9631"/>
      </w:tblGrid>
      <w:tr w:rsidR="00B432CB" w14:paraId="7C306607" w14:textId="77777777" w:rsidTr="00B432CB">
        <w:tc>
          <w:tcPr>
            <w:tcW w:w="9631" w:type="dxa"/>
          </w:tcPr>
          <w:p w14:paraId="4EB653DE" w14:textId="77777777" w:rsidR="00B432CB" w:rsidRDefault="00B432CB" w:rsidP="00B432CB">
            <w:pPr>
              <w:rPr>
                <w:lang w:val="en-US"/>
              </w:rPr>
            </w:pPr>
          </w:p>
          <w:p w14:paraId="43BC487C" w14:textId="77777777" w:rsidR="00B432CB" w:rsidRDefault="00B432CB" w:rsidP="00B432CB">
            <w:pPr>
              <w:rPr>
                <w:b/>
                <w:bCs/>
              </w:rPr>
            </w:pPr>
            <w:r>
              <w:rPr>
                <w:b/>
                <w:bCs/>
                <w:u w:val="single"/>
              </w:rPr>
              <w:t>Issue 1:</w:t>
            </w:r>
            <w:r>
              <w:rPr>
                <w:b/>
                <w:bCs/>
              </w:rPr>
              <w:t xml:space="preserve"> How RRC-based activation works when L1-based cell DTX/DRX activation is configured</w:t>
            </w:r>
          </w:p>
          <w:p w14:paraId="293598E9" w14:textId="77777777" w:rsidR="00B432CB" w:rsidRDefault="00B432CB" w:rsidP="00B432CB">
            <w:pPr>
              <w:rPr>
                <w:b/>
                <w:bCs/>
              </w:rPr>
            </w:pPr>
            <w:r>
              <w:rPr>
                <w:b/>
                <w:bCs/>
                <w:u w:val="single"/>
              </w:rPr>
              <w:t>Issue 2:</w:t>
            </w:r>
            <w:r>
              <w:rPr>
                <w:b/>
                <w:bCs/>
              </w:rPr>
              <w:t xml:space="preserve"> Whether a configured grant can be delivered to the HARQ entity before cell DRX activation.</w:t>
            </w:r>
          </w:p>
          <w:p w14:paraId="0837F0A6" w14:textId="77777777" w:rsidR="00B432CB" w:rsidRDefault="00B432CB" w:rsidP="00B432CB">
            <w:pPr>
              <w:rPr>
                <w:b/>
                <w:bCs/>
              </w:rPr>
            </w:pPr>
            <w:r>
              <w:rPr>
                <w:b/>
                <w:bCs/>
                <w:u w:val="single"/>
              </w:rPr>
              <w:t>Issue 3:</w:t>
            </w:r>
            <w:r>
              <w:t xml:space="preserve"> </w:t>
            </w:r>
            <w:r>
              <w:rPr>
                <w:b/>
                <w:bCs/>
              </w:rPr>
              <w:t>whether to allow CG bundle transmission if only a part of a bundle overlaps with cell DRX Active Period</w:t>
            </w:r>
          </w:p>
          <w:p w14:paraId="6517C726" w14:textId="77777777" w:rsidR="00B432CB" w:rsidRDefault="00B432CB" w:rsidP="00B432CB">
            <w:r>
              <w:rPr>
                <w:b/>
                <w:bCs/>
                <w:u w:val="single"/>
              </w:rPr>
              <w:lastRenderedPageBreak/>
              <w:t>Issue 4:</w:t>
            </w:r>
            <w:r>
              <w:rPr>
                <w:b/>
                <w:bCs/>
              </w:rPr>
              <w:t xml:space="preserve"> whether to support multiple cell DTX/DRX pattern configurations</w:t>
            </w:r>
          </w:p>
          <w:p w14:paraId="5C3FFB82" w14:textId="77777777" w:rsidR="00B432CB" w:rsidRDefault="00B432CB" w:rsidP="00B432CB">
            <w:pPr>
              <w:rPr>
                <w:b/>
                <w:bCs/>
              </w:rPr>
            </w:pPr>
            <w:r>
              <w:rPr>
                <w:b/>
                <w:bCs/>
                <w:u w:val="single"/>
              </w:rPr>
              <w:t>Issue 5:</w:t>
            </w:r>
            <w:r>
              <w:rPr>
                <w:b/>
                <w:bCs/>
              </w:rPr>
              <w:t xml:space="preserve"> whether there is a need to capture the activation processing delay after reception of an activation idnication, or rely on TS 38.213 to provide the indication to higher layers timely.</w:t>
            </w:r>
          </w:p>
          <w:p w14:paraId="1DA089FD" w14:textId="77777777" w:rsidR="00B432CB" w:rsidRDefault="00B432CB" w:rsidP="00B432CB">
            <w:pPr>
              <w:rPr>
                <w:b/>
                <w:bCs/>
              </w:rPr>
            </w:pPr>
            <w:r>
              <w:rPr>
                <w:b/>
                <w:bCs/>
                <w:u w:val="single"/>
              </w:rPr>
              <w:t>Issue 6:</w:t>
            </w:r>
            <w:r>
              <w:rPr>
                <w:b/>
                <w:bCs/>
              </w:rPr>
              <w:t xml:space="preserve"> Whether to allow configuring per SR configuration with whether SR can be transmitted during Cell DRX non-active period</w:t>
            </w:r>
          </w:p>
          <w:p w14:paraId="32DA67A2" w14:textId="77777777" w:rsidR="00B432CB" w:rsidRDefault="00B432CB" w:rsidP="00B432CB">
            <w:pPr>
              <w:rPr>
                <w:b/>
                <w:bCs/>
              </w:rPr>
            </w:pPr>
            <w:r>
              <w:rPr>
                <w:b/>
                <w:bCs/>
                <w:u w:val="single"/>
              </w:rPr>
              <w:t>Issue 7:</w:t>
            </w:r>
            <w:r>
              <w:rPr>
                <w:b/>
                <w:bCs/>
              </w:rPr>
              <w:t xml:space="preserve"> Any other impact on MAC timers.</w:t>
            </w:r>
          </w:p>
          <w:p w14:paraId="7FC67895" w14:textId="77777777" w:rsidR="00B432CB" w:rsidRDefault="00B432CB" w:rsidP="00B432CB">
            <w:pPr>
              <w:rPr>
                <w:b/>
                <w:bCs/>
              </w:rPr>
            </w:pPr>
            <w:r>
              <w:rPr>
                <w:b/>
                <w:bCs/>
                <w:u w:val="single"/>
              </w:rPr>
              <w:t xml:space="preserve">Issue 8: </w:t>
            </w:r>
            <w:r>
              <w:rPr>
                <w:b/>
                <w:bCs/>
              </w:rPr>
              <w:t>Capturing R1’s agreement on MAC CE to indicate spatial domain sub-configuration.</w:t>
            </w:r>
          </w:p>
          <w:p w14:paraId="7AF74C20" w14:textId="77777777" w:rsidR="00B432CB" w:rsidRDefault="00B432CB" w:rsidP="005B6108">
            <w:pPr>
              <w:spacing w:after="0"/>
            </w:pPr>
          </w:p>
        </w:tc>
      </w:tr>
    </w:tbl>
    <w:p w14:paraId="51013FC4" w14:textId="77777777" w:rsidR="00280F5B" w:rsidRDefault="00280F5B" w:rsidP="005B6108">
      <w:pPr>
        <w:spacing w:after="0"/>
      </w:pPr>
    </w:p>
    <w:p w14:paraId="558413EA" w14:textId="00C7914A" w:rsidR="003C5188" w:rsidRDefault="00B432CB" w:rsidP="00151443">
      <w:pPr>
        <w:pStyle w:val="Heading1"/>
      </w:pPr>
      <w:r>
        <w:t>Per Cell vs Per MAC entity</w:t>
      </w:r>
    </w:p>
    <w:p w14:paraId="1C2E1976" w14:textId="02AF1655" w:rsidR="00B432CB" w:rsidRDefault="00B432CB" w:rsidP="00B432CB">
      <w:r>
        <w:t xml:space="preserve">The big open issue in the RRC discussion was whether the cell DTX/DRX activation should be per MAC entity or per </w:t>
      </w:r>
      <w:r w:rsidR="00354B60">
        <w:t>serving cell</w:t>
      </w:r>
      <w:r>
        <w:t>. To assess this, it is important to recall that PDCCH blind decoding is performed per MAC entity</w:t>
      </w:r>
      <w:r w:rsidR="00503942">
        <w:t xml:space="preserve"> by searching for a decodable PDCCH occasion within the CORESET. This mechanism has been one of the 5G basic pillars for all previous releases, and design of different features (e.g., UE power savings) have tried to design around this basic concept by only allowing the UE to be configured with two DRX groups for different frequency ranges. Given that blind decoding is a big source power consumption and complexity at the UE, we would emphasize that a per-Cell DTX/DRX configuration implies varying PDCCH occasions over carrier over time, which would </w:t>
      </w:r>
      <w:r w:rsidR="00A96A18">
        <w:t xml:space="preserve">go against several generations of UE implementations. </w:t>
      </w:r>
      <w:r w:rsidR="00354B60">
        <w:t>Furthermore, a per-cell configuration would need the UEs to define the capability per Band Combination which would lead to fragmentation and further difficulty of applying the feature across cells across UE vendors.</w:t>
      </w:r>
    </w:p>
    <w:p w14:paraId="6D5F46D5" w14:textId="49C9ECE7" w:rsidR="00A96A18" w:rsidRPr="00FE67E7" w:rsidRDefault="00A96A18" w:rsidP="00B432CB">
      <w:pPr>
        <w:rPr>
          <w:b/>
          <w:bCs/>
        </w:rPr>
      </w:pPr>
      <w:r w:rsidRPr="00FE67E7">
        <w:rPr>
          <w:b/>
          <w:bCs/>
        </w:rPr>
        <w:t xml:space="preserve">Observation 1: Per-cell DTX/DRX would effectively make PDCCH decoding occasions per-carrier, which is big change to the current per-MAC entity well-established PDCCH decoding procedure. </w:t>
      </w:r>
      <w:r w:rsidR="00354B60">
        <w:rPr>
          <w:b/>
          <w:bCs/>
        </w:rPr>
        <w:t xml:space="preserve">Furthermore, the cell DTX/DRX </w:t>
      </w:r>
      <w:r w:rsidR="00C5403F">
        <w:rPr>
          <w:b/>
          <w:bCs/>
        </w:rPr>
        <w:t>capability</w:t>
      </w:r>
      <w:r w:rsidR="00354B60">
        <w:rPr>
          <w:b/>
          <w:bCs/>
        </w:rPr>
        <w:t xml:space="preserve"> would have to be per Band Combination which would lead to fragmentation and more implementation difficulty.</w:t>
      </w:r>
    </w:p>
    <w:p w14:paraId="2F789675" w14:textId="7881DE02" w:rsidR="00A96A18" w:rsidRDefault="00A96A18" w:rsidP="00B432CB">
      <w:r>
        <w:t xml:space="preserve">Regarding the utility of a per-cell DTX/DRX configuration, it also doesn’t seem like there is a realistic use case that requires that. Recall from the SI phase cell DTX/DRX targets networks that are 10-30% loaded and do not need to use 100% of their temporal capacity. It is worth noting out that if the UE is configured with CA, it doesn’t make sense for </w:t>
      </w:r>
      <w:r w:rsidRPr="00A96A18">
        <w:rPr>
          <w:b/>
          <w:bCs/>
          <w:u w:val="single"/>
        </w:rPr>
        <w:t>both carriers to be 10-30%</w:t>
      </w:r>
      <w:r>
        <w:t xml:space="preserve"> loaded while still attempting to boost the UE throughput via CA. This would be </w:t>
      </w:r>
      <w:r w:rsidR="00FE67E7">
        <w:t>a wasteful configuration for both the UE and the NW, and thus, using this scenario to motivate a big change in PDCCH decoding is not well motivated at all.</w:t>
      </w:r>
    </w:p>
    <w:p w14:paraId="05421338" w14:textId="39BF8761" w:rsidR="00FE67E7" w:rsidRDefault="00FE67E7" w:rsidP="00B432CB">
      <w:pPr>
        <w:rPr>
          <w:b/>
          <w:bCs/>
        </w:rPr>
      </w:pPr>
      <w:r w:rsidRPr="00FE67E7">
        <w:rPr>
          <w:b/>
          <w:bCs/>
        </w:rPr>
        <w:t>Observation 2: There is no use case that requires the UE to be configured with CA if both carriers are lightly loaded to the extent of performing cell DTX/DRX.</w:t>
      </w:r>
    </w:p>
    <w:p w14:paraId="7B704A8E" w14:textId="10595F8B" w:rsidR="00FE67E7" w:rsidRDefault="00FE67E7" w:rsidP="00B432CB">
      <w:r>
        <w:t>Given that we think that Cell DTX/DRX framework should be only configured on-top of UE C-DRX</w:t>
      </w:r>
      <w:r w:rsidR="004E6A6C">
        <w:t xml:space="preserve">, then the Cell DTX/DRX should also be configured per MAC entity. In our view, all the flexibility needed can be obtained from Scell activation/deactivation procedure as well as per-cell pattern activation. However, </w:t>
      </w:r>
      <w:r w:rsidR="00931A5E">
        <w:t>if FR</w:t>
      </w:r>
      <w:r w:rsidR="004E6A6C">
        <w:t>1 and FR2 share a MAC entity, cell DTX/DRX can also be per C-DRX group, i.e., the C</w:t>
      </w:r>
      <w:r w:rsidR="00931A5E">
        <w:t>ell can belong to one of two possible configurations.</w:t>
      </w:r>
    </w:p>
    <w:p w14:paraId="7EBA5A85" w14:textId="40B3E05D" w:rsidR="004E6A6C" w:rsidRDefault="004E6A6C" w:rsidP="00B432CB">
      <w:pPr>
        <w:rPr>
          <w:b/>
          <w:bCs/>
        </w:rPr>
      </w:pPr>
      <w:r w:rsidRPr="004E6A6C">
        <w:rPr>
          <w:b/>
          <w:bCs/>
        </w:rPr>
        <w:t>Proposal 1: Cell DTX/DRX is configured on top of C-DRX</w:t>
      </w:r>
      <w:r>
        <w:rPr>
          <w:b/>
          <w:bCs/>
        </w:rPr>
        <w:t>. RAN2 to decide between the following two options:</w:t>
      </w:r>
    </w:p>
    <w:p w14:paraId="24E6AC9B" w14:textId="6E114FF1" w:rsidR="004E6A6C" w:rsidRDefault="002265F3" w:rsidP="004E6A6C">
      <w:pPr>
        <w:pStyle w:val="ListParagraph"/>
        <w:numPr>
          <w:ilvl w:val="0"/>
          <w:numId w:val="40"/>
        </w:numPr>
        <w:rPr>
          <w:b/>
          <w:bCs/>
        </w:rPr>
      </w:pPr>
      <w:r>
        <w:rPr>
          <w:b/>
          <w:bCs/>
        </w:rPr>
        <w:t xml:space="preserve">Option 1: </w:t>
      </w:r>
      <w:r w:rsidR="004E6A6C">
        <w:rPr>
          <w:b/>
          <w:bCs/>
        </w:rPr>
        <w:t xml:space="preserve">Single Cell DTX/DRX configuration per MAC entity. </w:t>
      </w:r>
    </w:p>
    <w:p w14:paraId="295DDF13" w14:textId="46789063" w:rsidR="004E6A6C" w:rsidRDefault="002265F3" w:rsidP="004E6A6C">
      <w:pPr>
        <w:pStyle w:val="ListParagraph"/>
        <w:numPr>
          <w:ilvl w:val="0"/>
          <w:numId w:val="40"/>
        </w:numPr>
        <w:rPr>
          <w:b/>
          <w:bCs/>
        </w:rPr>
      </w:pPr>
      <w:r>
        <w:rPr>
          <w:b/>
          <w:bCs/>
        </w:rPr>
        <w:t xml:space="preserve">Option 2: </w:t>
      </w:r>
      <w:r w:rsidR="004E6A6C">
        <w:rPr>
          <w:b/>
          <w:bCs/>
        </w:rPr>
        <w:t>Single Cell DTX/DRX configuration per C</w:t>
      </w:r>
      <w:r w:rsidR="00AB2482">
        <w:rPr>
          <w:b/>
          <w:bCs/>
        </w:rPr>
        <w:t>-</w:t>
      </w:r>
      <w:r w:rsidR="004E6A6C">
        <w:rPr>
          <w:b/>
          <w:bCs/>
        </w:rPr>
        <w:t xml:space="preserve">DRX group. </w:t>
      </w:r>
    </w:p>
    <w:p w14:paraId="5DAAADB7" w14:textId="09158028" w:rsidR="002265F3" w:rsidRDefault="002265F3" w:rsidP="002265F3">
      <w:pPr>
        <w:pStyle w:val="Heading1"/>
      </w:pPr>
      <w:r>
        <w:t>Activation State &amp; Activation Signalling</w:t>
      </w:r>
    </w:p>
    <w:p w14:paraId="67DE97DD" w14:textId="3ACB460B" w:rsidR="002265F3" w:rsidRDefault="002265F3" w:rsidP="002265F3">
      <w:r>
        <w:t xml:space="preserve">Last meeting, RAN1 has agreed on the following: </w:t>
      </w:r>
    </w:p>
    <w:tbl>
      <w:tblPr>
        <w:tblStyle w:val="TableGrid"/>
        <w:tblW w:w="0" w:type="auto"/>
        <w:tblLook w:val="04A0" w:firstRow="1" w:lastRow="0" w:firstColumn="1" w:lastColumn="0" w:noHBand="0" w:noVBand="1"/>
      </w:tblPr>
      <w:tblGrid>
        <w:gridCol w:w="9631"/>
      </w:tblGrid>
      <w:tr w:rsidR="002265F3" w14:paraId="05745BD8" w14:textId="77777777" w:rsidTr="002265F3">
        <w:tc>
          <w:tcPr>
            <w:tcW w:w="9631" w:type="dxa"/>
          </w:tcPr>
          <w:p w14:paraId="2FF2051F" w14:textId="77777777" w:rsidR="002265F3" w:rsidRPr="002265F3" w:rsidRDefault="002265F3" w:rsidP="002265F3">
            <w:pPr>
              <w:rPr>
                <w:rFonts w:ascii="Arial" w:hAnsi="Arial" w:cs="Arial"/>
              </w:rPr>
            </w:pPr>
            <w:r w:rsidRPr="002265F3">
              <w:rPr>
                <w:rFonts w:ascii="Arial" w:hAnsi="Arial" w:cs="Arial"/>
              </w:rPr>
              <w:t>From RAN1 point of view, DCI format 2_X supports activation/deactivation of cell DTX/DRX configuration of multiple serving cells and support activation/deactivation per cell</w:t>
            </w:r>
          </w:p>
          <w:p w14:paraId="720358D8" w14:textId="174A63A1" w:rsidR="002265F3" w:rsidRDefault="002265F3" w:rsidP="002265F3">
            <w:pPr>
              <w:pStyle w:val="ListParagraph"/>
              <w:numPr>
                <w:ilvl w:val="0"/>
                <w:numId w:val="41"/>
              </w:numPr>
            </w:pPr>
            <w:r w:rsidRPr="002265F3">
              <w:rPr>
                <w:rFonts w:ascii="Arial" w:hAnsi="Arial" w:cs="Arial"/>
              </w:rPr>
              <w:t>UE monitor DCI format 2_X in one serving cell</w:t>
            </w:r>
          </w:p>
        </w:tc>
      </w:tr>
    </w:tbl>
    <w:p w14:paraId="308CA021" w14:textId="77777777" w:rsidR="002265F3" w:rsidRDefault="002265F3" w:rsidP="002265F3"/>
    <w:p w14:paraId="65D60F9B" w14:textId="0C2DC9CD" w:rsidR="002265F3" w:rsidRDefault="002265F3" w:rsidP="002265F3">
      <w:r>
        <w:t>RAN2 has mostly followed that into the following agreement:</w:t>
      </w:r>
    </w:p>
    <w:p w14:paraId="7E009F5B" w14:textId="77777777" w:rsidR="002265F3" w:rsidRDefault="002265F3" w:rsidP="002265F3">
      <w:pPr>
        <w:pStyle w:val="Doc-text2"/>
        <w:pBdr>
          <w:top w:val="single" w:sz="4" w:space="1" w:color="auto"/>
          <w:left w:val="single" w:sz="4" w:space="31" w:color="auto"/>
          <w:bottom w:val="single" w:sz="4" w:space="1" w:color="auto"/>
          <w:right w:val="single" w:sz="4" w:space="4" w:color="auto"/>
        </w:pBdr>
        <w:rPr>
          <w:szCs w:val="20"/>
        </w:rPr>
      </w:pPr>
      <w:r>
        <w:rPr>
          <w:szCs w:val="20"/>
        </w:rPr>
        <w:t xml:space="preserve">Activation/deactivation is per serving cell.  FFS if the configuration is per cell or per MAC entity </w:t>
      </w:r>
    </w:p>
    <w:p w14:paraId="5DD69EFB" w14:textId="146E828D" w:rsidR="00ED28F3" w:rsidRDefault="002265F3" w:rsidP="002265F3">
      <w:r>
        <w:t xml:space="preserve">In our view, the agreement in its current form is too general and does allow for somewhat strange patterns across serving cells. In particular, </w:t>
      </w:r>
      <w:r w:rsidR="00ED28F3">
        <w:t xml:space="preserve">due to considerations of </w:t>
      </w:r>
      <w:r>
        <w:t xml:space="preserve">cross-carrier scheduling, RLM, </w:t>
      </w:r>
      <w:r w:rsidR="00ED28F3">
        <w:t>PUCCH transmissions, we think it is important to have the following restriction.</w:t>
      </w:r>
    </w:p>
    <w:p w14:paraId="0B3A0BF0" w14:textId="2EC52B14" w:rsidR="002265F3" w:rsidRDefault="00ED28F3" w:rsidP="002265F3">
      <w:pPr>
        <w:rPr>
          <w:b/>
          <w:bCs/>
        </w:rPr>
      </w:pPr>
      <w:r w:rsidRPr="00ED28F3">
        <w:rPr>
          <w:b/>
          <w:bCs/>
        </w:rPr>
        <w:t xml:space="preserve">Proposal 2: </w:t>
      </w:r>
      <w:r w:rsidR="002265F3" w:rsidRPr="00ED28F3">
        <w:rPr>
          <w:b/>
          <w:bCs/>
        </w:rPr>
        <w:t xml:space="preserve"> </w:t>
      </w:r>
      <w:r w:rsidRPr="00ED28F3">
        <w:rPr>
          <w:b/>
          <w:bCs/>
        </w:rPr>
        <w:t xml:space="preserve">An Scell cannot activate a cell DTX/DRX pattern unless it is activated for the Pcell of the cell group. Scell cell DTX/DRX active time must be contained in Pcell active time. </w:t>
      </w:r>
    </w:p>
    <w:p w14:paraId="0105A3CD" w14:textId="6CADB54A" w:rsidR="00ED28F3" w:rsidRDefault="00ED28F3" w:rsidP="002265F3">
      <w:r>
        <w:t xml:space="preserve">Another issue that should be discussed is the activation signalling. Currently, RAN1 is designing DCI2_X. However, the CDRX pattern configuration and decoding occasions should be RAN2 purview. There are a couple of concerns wrt to L1 (de)activation. </w:t>
      </w:r>
    </w:p>
    <w:p w14:paraId="23BA5BB1" w14:textId="3819AD0F" w:rsidR="00ED28F3" w:rsidRPr="00E51A92" w:rsidRDefault="00ED28F3" w:rsidP="002265F3">
      <w:pPr>
        <w:rPr>
          <w:b/>
          <w:bCs/>
        </w:rPr>
      </w:pPr>
      <w:r w:rsidRPr="00E51A92">
        <w:rPr>
          <w:b/>
          <w:bCs/>
        </w:rPr>
        <w:t xml:space="preserve">Observation 3: The following </w:t>
      </w:r>
      <w:r w:rsidR="00E51A92" w:rsidRPr="00E51A92">
        <w:rPr>
          <w:b/>
          <w:bCs/>
        </w:rPr>
        <w:t>needs to be discussed in RAN2:</w:t>
      </w:r>
    </w:p>
    <w:p w14:paraId="42D25F8B" w14:textId="1EED03C0" w:rsidR="00E51A92" w:rsidRPr="00E51A92" w:rsidRDefault="00E51A92" w:rsidP="00E51A92">
      <w:pPr>
        <w:pStyle w:val="ListParagraph"/>
        <w:numPr>
          <w:ilvl w:val="0"/>
          <w:numId w:val="41"/>
        </w:numPr>
        <w:rPr>
          <w:b/>
          <w:bCs/>
        </w:rPr>
      </w:pPr>
      <w:r w:rsidRPr="00E51A92">
        <w:rPr>
          <w:b/>
          <w:bCs/>
        </w:rPr>
        <w:t>Interplay between CDRX and DCI2_X</w:t>
      </w:r>
    </w:p>
    <w:p w14:paraId="23B2587E" w14:textId="668D56FB" w:rsidR="00E51A92" w:rsidRPr="00E51A92" w:rsidRDefault="00E51A92" w:rsidP="00E51A92">
      <w:pPr>
        <w:pStyle w:val="ListParagraph"/>
        <w:numPr>
          <w:ilvl w:val="0"/>
          <w:numId w:val="41"/>
        </w:numPr>
        <w:rPr>
          <w:b/>
          <w:bCs/>
        </w:rPr>
      </w:pPr>
      <w:r w:rsidRPr="00E51A92">
        <w:rPr>
          <w:b/>
          <w:bCs/>
        </w:rPr>
        <w:t>How quickly can MAC apply (de)activation L1 signal?</w:t>
      </w:r>
    </w:p>
    <w:p w14:paraId="558CE916" w14:textId="77777777" w:rsidR="00E51A92" w:rsidRDefault="00E51A92" w:rsidP="00E51A92">
      <w:r>
        <w:t xml:space="preserve">For the first point, it is important to ensure that the UE is not expected to wake up from an OFF period to decode GC-DCI due to UE power considerations. Since the periodicity of C-DRX can be much higher than the Cell DTX/DRX periodicity, we want to avoid a situation where the UE needs to decode GC-DCI according to the cell DTX/DRX periodicity which can change multiple times between UE ON durations. </w:t>
      </w:r>
    </w:p>
    <w:p w14:paraId="468287B4" w14:textId="77777777" w:rsidR="00932F53" w:rsidRDefault="00E51A92" w:rsidP="00E51A92">
      <w:r>
        <w:t xml:space="preserve">On the second point, recall that the MAC events run with a coarser granularity than L1 signalling. By the time the UE decodes PDCCH, there may be other MAC events scheduled wrt HARQ retransmissions for example. To this end, we think that there should be a clear understanding in the MAC spec. on how fast </w:t>
      </w:r>
      <w:r w:rsidR="00932F53">
        <w:t xml:space="preserve">the cell DTX/DRX (de)activation would be applied upon receiving the DCI. </w:t>
      </w:r>
    </w:p>
    <w:p w14:paraId="4CBF637D" w14:textId="3168EB76" w:rsidR="00E51A92" w:rsidRPr="00932F53" w:rsidRDefault="00932F53" w:rsidP="00E51A92">
      <w:pPr>
        <w:rPr>
          <w:b/>
          <w:bCs/>
        </w:rPr>
      </w:pPr>
      <w:r w:rsidRPr="00932F53">
        <w:rPr>
          <w:b/>
          <w:bCs/>
        </w:rPr>
        <w:t xml:space="preserve">Proposal 3: </w:t>
      </w:r>
      <w:r w:rsidR="00E51A92" w:rsidRPr="00932F53">
        <w:rPr>
          <w:b/>
          <w:bCs/>
        </w:rPr>
        <w:t xml:space="preserve"> </w:t>
      </w:r>
      <w:r w:rsidRPr="00932F53">
        <w:rPr>
          <w:b/>
          <w:bCs/>
        </w:rPr>
        <w:t xml:space="preserve">UE is not expected to decode Cell DTX/DRX (de)activation DCI outside of its active time. A (de)activation signal at the UE applies from the start of the next Cell DTX/DRX active time. </w:t>
      </w:r>
    </w:p>
    <w:p w14:paraId="2181BA55" w14:textId="40EEAFCF" w:rsidR="002265F3" w:rsidRDefault="000F618B" w:rsidP="002265F3">
      <w:pPr>
        <w:pStyle w:val="Heading1"/>
      </w:pPr>
      <w:r>
        <w:t>Alignment</w:t>
      </w:r>
      <w:r w:rsidR="002265F3">
        <w:t xml:space="preserve"> Considerations</w:t>
      </w:r>
    </w:p>
    <w:p w14:paraId="2037EA70" w14:textId="5AAD72AE" w:rsidR="00BA7C98" w:rsidRDefault="00BA7C98" w:rsidP="00BA7C98">
      <w:pPr>
        <w:pStyle w:val="Heading2"/>
      </w:pPr>
      <w:r>
        <w:t>UE CDRX and Cell DTX</w:t>
      </w:r>
    </w:p>
    <w:p w14:paraId="75474BCD" w14:textId="01046233" w:rsidR="002265F3" w:rsidRDefault="002265F3" w:rsidP="002265F3">
      <w:r>
        <w:t>Last meeting the following was agreed:</w:t>
      </w:r>
    </w:p>
    <w:p w14:paraId="25813F92" w14:textId="77777777" w:rsidR="002265F3" w:rsidRPr="00400451" w:rsidRDefault="002265F3" w:rsidP="002265F3">
      <w:pPr>
        <w:pStyle w:val="Doc-text2"/>
        <w:pBdr>
          <w:top w:val="single" w:sz="4" w:space="1" w:color="auto"/>
          <w:left w:val="single" w:sz="4" w:space="31" w:color="auto"/>
          <w:bottom w:val="single" w:sz="4" w:space="1" w:color="auto"/>
          <w:right w:val="single" w:sz="4" w:space="4" w:color="auto"/>
        </w:pBdr>
      </w:pPr>
      <w:r w:rsidRPr="00AC6564">
        <w:t xml:space="preserve">The gNB </w:t>
      </w:r>
      <w:r>
        <w:t xml:space="preserve">should </w:t>
      </w:r>
      <w:r w:rsidRPr="00AC6564">
        <w:t>ensures that there is at least partial overlapping between UE C-DRX on-</w:t>
      </w:r>
      <w:r w:rsidRPr="00400451">
        <w:t xml:space="preserve">duration and cell DTX/DRX on-duration.  It is up to network implementation to ensure the alignment.  We will capture this in stage 2 specification.  </w:t>
      </w:r>
    </w:p>
    <w:p w14:paraId="6A707E42" w14:textId="77777777" w:rsidR="002265F3" w:rsidRDefault="002265F3" w:rsidP="002265F3">
      <w:pPr>
        <w:pStyle w:val="Doc-text2"/>
        <w:pBdr>
          <w:top w:val="single" w:sz="4" w:space="1" w:color="auto"/>
          <w:left w:val="single" w:sz="4" w:space="31" w:color="auto"/>
          <w:bottom w:val="single" w:sz="4" w:space="1" w:color="auto"/>
          <w:right w:val="single" w:sz="4" w:space="4" w:color="auto"/>
        </w:pBdr>
      </w:pPr>
      <w:r w:rsidRPr="00400451">
        <w:tab/>
        <w:t xml:space="preserve">Understanding </w:t>
      </w:r>
      <w:r>
        <w:t xml:space="preserve">is </w:t>
      </w:r>
      <w:r w:rsidRPr="00400451">
        <w:t xml:space="preserve">that alignment means that the cell DTX/DRX and C-DRX periodicity should be multiple of each other.   </w:t>
      </w:r>
      <w:r w:rsidRPr="000F618B">
        <w:rPr>
          <w:highlight w:val="yellow"/>
        </w:rPr>
        <w:t>FFS if we anything needs to be specified in stage 3 (i.e. in IE description)</w:t>
      </w:r>
    </w:p>
    <w:p w14:paraId="77B63E4E" w14:textId="77777777" w:rsidR="002265F3" w:rsidRDefault="002265F3" w:rsidP="002265F3"/>
    <w:p w14:paraId="70C12D25" w14:textId="1C9003A5" w:rsidR="00F11B50" w:rsidRDefault="00F11B50" w:rsidP="002265F3">
      <w:r>
        <w:t>This has started a side discussion in the 38.300 and 38.331 running CR on whether anything should be captured in stage 3 and how. First, we would like to separate the alignment agreements into two sub-cases:</w:t>
      </w:r>
    </w:p>
    <w:p w14:paraId="5887044E" w14:textId="503433A2" w:rsidR="00F11B50" w:rsidRDefault="00F11B50" w:rsidP="002265F3">
      <w:pPr>
        <w:rPr>
          <w:lang w:val="en-US"/>
        </w:rPr>
      </w:pPr>
      <w:r w:rsidRPr="00F11B50">
        <w:rPr>
          <w:lang w:val="en-US"/>
        </w:rPr>
        <w:t>Case 1: UE C-DRX periodicity i</w:t>
      </w:r>
      <w:r>
        <w:rPr>
          <w:lang w:val="en-US"/>
        </w:rPr>
        <w:t xml:space="preserve">s an integer multiple of Cell DTX periodicity. </w:t>
      </w:r>
    </w:p>
    <w:p w14:paraId="0C0AFBCD" w14:textId="00505CC5" w:rsidR="00F11B50" w:rsidRPr="00F11B50" w:rsidRDefault="007C4349" w:rsidP="002265F3">
      <w:pPr>
        <w:rPr>
          <w:lang w:val="en-US"/>
        </w:rPr>
      </w:pPr>
      <w:r>
        <w:rPr>
          <w:noProof/>
        </w:rPr>
        <w:lastRenderedPageBreak/>
        <w:drawing>
          <wp:anchor distT="0" distB="0" distL="114300" distR="114300" simplePos="0" relativeHeight="251665408" behindDoc="1" locked="0" layoutInCell="1" allowOverlap="1" wp14:anchorId="74B2C88F" wp14:editId="6863C84E">
            <wp:simplePos x="0" y="0"/>
            <wp:positionH relativeFrom="margin">
              <wp:posOffset>304800</wp:posOffset>
            </wp:positionH>
            <wp:positionV relativeFrom="paragraph">
              <wp:posOffset>260350</wp:posOffset>
            </wp:positionV>
            <wp:extent cx="5010150" cy="1864360"/>
            <wp:effectExtent l="0" t="0" r="0" b="2540"/>
            <wp:wrapTopAndBottom/>
            <wp:docPr id="1732583829" name="Picture 1" descr="A graph with black squares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83829" name="Picture 1" descr="A graph with black squares and white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5010150" cy="1864360"/>
                    </a:xfrm>
                    <a:prstGeom prst="rect">
                      <a:avLst/>
                    </a:prstGeom>
                  </pic:spPr>
                </pic:pic>
              </a:graphicData>
            </a:graphic>
            <wp14:sizeRelH relativeFrom="margin">
              <wp14:pctWidth>0</wp14:pctWidth>
            </wp14:sizeRelH>
            <wp14:sizeRelV relativeFrom="margin">
              <wp14:pctHeight>0</wp14:pctHeight>
            </wp14:sizeRelV>
          </wp:anchor>
        </w:drawing>
      </w:r>
      <w:r w:rsidR="00F11B50">
        <w:rPr>
          <w:lang w:val="en-US"/>
        </w:rPr>
        <w:t xml:space="preserve">This case is well understood and has been discussed a lot in RAN2. </w:t>
      </w:r>
    </w:p>
    <w:p w14:paraId="2E3C79D5" w14:textId="75D4D084" w:rsidR="00F11B50" w:rsidRDefault="00F11B50" w:rsidP="002265F3"/>
    <w:p w14:paraId="23CAF5A5" w14:textId="66ECBC71" w:rsidR="00F11B50" w:rsidRDefault="00F11B50" w:rsidP="002265F3">
      <w:r>
        <w:t>Case 2: Cell DTX Periodicity in an integer multiple of UE C-DRX periodicity</w:t>
      </w:r>
    </w:p>
    <w:p w14:paraId="71C60C5C" w14:textId="27AB3497" w:rsidR="007C4349" w:rsidRDefault="007C4349" w:rsidP="002265F3">
      <w:r>
        <w:rPr>
          <w:noProof/>
        </w:rPr>
        <w:drawing>
          <wp:inline distT="0" distB="0" distL="0" distR="0" wp14:anchorId="6E0D4E82" wp14:editId="00C524B2">
            <wp:extent cx="6122035" cy="2049780"/>
            <wp:effectExtent l="0" t="0" r="0" b="7620"/>
            <wp:docPr id="976406344"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406344" name="Picture 1" descr="A diagram of a graph&#10;&#10;Description automatically generated"/>
                    <pic:cNvPicPr/>
                  </pic:nvPicPr>
                  <pic:blipFill>
                    <a:blip r:embed="rId13"/>
                    <a:stretch>
                      <a:fillRect/>
                    </a:stretch>
                  </pic:blipFill>
                  <pic:spPr>
                    <a:xfrm>
                      <a:off x="0" y="0"/>
                      <a:ext cx="6122035" cy="2049780"/>
                    </a:xfrm>
                    <a:prstGeom prst="rect">
                      <a:avLst/>
                    </a:prstGeom>
                  </pic:spPr>
                </pic:pic>
              </a:graphicData>
            </a:graphic>
          </wp:inline>
        </w:drawing>
      </w:r>
    </w:p>
    <w:p w14:paraId="53ACB2DD" w14:textId="5006D3C7" w:rsidR="007C4349" w:rsidRDefault="007C4349" w:rsidP="002265F3">
      <w:r>
        <w:t>This is a new case that needs a little bit more thinking. Note that RAN2 has agreed that</w:t>
      </w:r>
      <w:r w:rsidR="00982E39">
        <w:t>:</w:t>
      </w:r>
    </w:p>
    <w:p w14:paraId="7E69511B" w14:textId="77777777" w:rsidR="00982E39" w:rsidRPr="00AC6564" w:rsidRDefault="00982E39" w:rsidP="00982E39">
      <w:pPr>
        <w:pStyle w:val="Doc-text2"/>
        <w:pBdr>
          <w:top w:val="single" w:sz="4" w:space="1" w:color="auto"/>
          <w:left w:val="single" w:sz="4" w:space="4" w:color="auto"/>
          <w:bottom w:val="single" w:sz="4" w:space="1" w:color="auto"/>
          <w:right w:val="single" w:sz="4" w:space="4" w:color="auto"/>
        </w:pBdr>
      </w:pPr>
      <w:r>
        <w:t>5</w:t>
      </w:r>
      <w:r>
        <w:tab/>
      </w:r>
      <w:r w:rsidRPr="00AC6564">
        <w:t xml:space="preserve">RAN2 specifies </w:t>
      </w:r>
      <w:r w:rsidRPr="00AC6564">
        <w:rPr>
          <w:i/>
        </w:rPr>
        <w:t>cellDTX-onDurationTimer</w:t>
      </w:r>
      <w:r w:rsidRPr="00AC6564">
        <w:t xml:space="preserve"> (and </w:t>
      </w:r>
      <w:r w:rsidRPr="00AC6564">
        <w:rPr>
          <w:i/>
        </w:rPr>
        <w:t>cellDRX-onDurationTimer</w:t>
      </w:r>
      <w:r w:rsidRPr="00AC6564">
        <w:t xml:space="preserve">) to have the same value range as UE C-DRX on-duration timer. </w:t>
      </w:r>
    </w:p>
    <w:p w14:paraId="7A0CFD89" w14:textId="21B1AD19" w:rsidR="00982E39" w:rsidRDefault="00982E39" w:rsidP="00982E39">
      <w:pPr>
        <w:pStyle w:val="Doc-text2"/>
        <w:pBdr>
          <w:top w:val="single" w:sz="4" w:space="1" w:color="auto"/>
          <w:left w:val="single" w:sz="4" w:space="4" w:color="auto"/>
          <w:bottom w:val="single" w:sz="4" w:space="1" w:color="auto"/>
          <w:right w:val="single" w:sz="4" w:space="4" w:color="auto"/>
        </w:pBdr>
      </w:pPr>
      <w:r>
        <w:t>6</w:t>
      </w:r>
      <w:r>
        <w:tab/>
      </w:r>
      <w:r w:rsidRPr="00AC6564">
        <w:t xml:space="preserve">RAN2 specifies </w:t>
      </w:r>
      <w:r w:rsidRPr="00AC6564">
        <w:rPr>
          <w:i/>
        </w:rPr>
        <w:t>cellDTX-Cycle</w:t>
      </w:r>
      <w:r w:rsidRPr="00AC6564">
        <w:t xml:space="preserve"> (and </w:t>
      </w:r>
      <w:r w:rsidRPr="00AC6564">
        <w:rPr>
          <w:i/>
        </w:rPr>
        <w:t>cellDRX-Cycle</w:t>
      </w:r>
      <w:r w:rsidRPr="00AC6564">
        <w:t xml:space="preserve">) to have the same value range as UE C-DRX Long cycle. </w:t>
      </w:r>
    </w:p>
    <w:p w14:paraId="1D005CB9" w14:textId="224808EE" w:rsidR="00982E39" w:rsidRDefault="00982E39" w:rsidP="002265F3">
      <w:r>
        <w:t>Inspecting C-DRX configuration</w:t>
      </w:r>
      <w:r w:rsidR="00275202">
        <w:t xml:space="preserve"> ON duration timer and cycle length</w:t>
      </w:r>
      <w:r>
        <w:t xml:space="preserve"> in the RRC spec:</w:t>
      </w:r>
    </w:p>
    <w:p w14:paraId="66B2FEBA"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DRX-Config ::=                      </w:t>
      </w:r>
      <w:r w:rsidRPr="00275202">
        <w:rPr>
          <w:rFonts w:ascii="Courier New" w:eastAsia="Times New Roman" w:hAnsi="Courier New"/>
          <w:noProof/>
          <w:color w:val="993366"/>
          <w:sz w:val="16"/>
          <w:lang w:eastAsia="en-GB"/>
        </w:rPr>
        <w:t>SEQUENCE</w:t>
      </w:r>
      <w:r w:rsidRPr="00275202">
        <w:rPr>
          <w:rFonts w:ascii="Courier New" w:eastAsia="Times New Roman" w:hAnsi="Courier New"/>
          <w:noProof/>
          <w:sz w:val="16"/>
          <w:lang w:eastAsia="en-GB"/>
        </w:rPr>
        <w:t xml:space="preserve"> {</w:t>
      </w:r>
    </w:p>
    <w:p w14:paraId="7BE31A88"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drx-onDurationTimer                 </w:t>
      </w:r>
      <w:r w:rsidRPr="00275202">
        <w:rPr>
          <w:rFonts w:ascii="Courier New" w:eastAsia="Times New Roman" w:hAnsi="Courier New"/>
          <w:noProof/>
          <w:color w:val="993366"/>
          <w:sz w:val="16"/>
          <w:lang w:eastAsia="en-GB"/>
        </w:rPr>
        <w:t>CHOICE</w:t>
      </w:r>
      <w:r w:rsidRPr="00275202">
        <w:rPr>
          <w:rFonts w:ascii="Courier New" w:eastAsia="Times New Roman" w:hAnsi="Courier New"/>
          <w:noProof/>
          <w:sz w:val="16"/>
          <w:lang w:eastAsia="en-GB"/>
        </w:rPr>
        <w:t xml:space="preserve"> {</w:t>
      </w:r>
    </w:p>
    <w:p w14:paraId="527DC200"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subMilliSeconds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 xml:space="preserve"> (1..31),</w:t>
      </w:r>
    </w:p>
    <w:p w14:paraId="3D8857BC"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milliSeconds    </w:t>
      </w:r>
      <w:r w:rsidRPr="00275202">
        <w:rPr>
          <w:rFonts w:ascii="Courier New" w:eastAsia="Times New Roman" w:hAnsi="Courier New"/>
          <w:noProof/>
          <w:color w:val="993366"/>
          <w:sz w:val="16"/>
          <w:lang w:eastAsia="en-GB"/>
        </w:rPr>
        <w:t>ENUMERATED</w:t>
      </w:r>
      <w:r w:rsidRPr="00275202">
        <w:rPr>
          <w:rFonts w:ascii="Courier New" w:eastAsia="Times New Roman" w:hAnsi="Courier New"/>
          <w:noProof/>
          <w:sz w:val="16"/>
          <w:lang w:eastAsia="en-GB"/>
        </w:rPr>
        <w:t xml:space="preserve"> {</w:t>
      </w:r>
    </w:p>
    <w:p w14:paraId="727A9DFF" w14:textId="62993DC4"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 ms2, ms3, ms4, ms5, ms6, ms8, ms10, ms20, ms30, ms40, ms50, ms60</w:t>
      </w:r>
      <w:r w:rsidRPr="000F618B">
        <w:rPr>
          <w:rFonts w:ascii="Courier New" w:eastAsia="Times New Roman" w:hAnsi="Courier New"/>
          <w:noProof/>
          <w:sz w:val="16"/>
          <w:lang w:eastAsia="en-GB"/>
        </w:rPr>
        <w:t>,</w:t>
      </w:r>
      <w:r w:rsidRPr="00275202">
        <w:rPr>
          <w:rFonts w:ascii="Courier New" w:eastAsia="Times New Roman" w:hAnsi="Courier New"/>
          <w:noProof/>
          <w:sz w:val="16"/>
          <w:lang w:eastAsia="en-GB"/>
        </w:rPr>
        <w:t xml:space="preserve"> ms80, ms100, ms200, ms300, ms400, ms500, ms600, ms800, ms1000, ms1200,</w:t>
      </w:r>
    </w:p>
    <w:p w14:paraId="650C2157"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ms1600, spare8, spare7, spare6, spare5, spare4, spare3, spare2, spare1 }</w:t>
      </w:r>
    </w:p>
    <w:p w14:paraId="1D68016A" w14:textId="6A8CDDD0"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w:t>
      </w:r>
    </w:p>
    <w:p w14:paraId="0B867B60" w14:textId="18A8E9FD"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spare8, spare7, spare6, spare5, spare4, spare3, spare2, spare1 },</w:t>
      </w:r>
    </w:p>
    <w:p w14:paraId="4137C9A0"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drx-LongCycleStartOffset            </w:t>
      </w:r>
      <w:r w:rsidRPr="00275202">
        <w:rPr>
          <w:rFonts w:ascii="Courier New" w:eastAsia="Times New Roman" w:hAnsi="Courier New"/>
          <w:noProof/>
          <w:color w:val="993366"/>
          <w:sz w:val="16"/>
          <w:lang w:eastAsia="en-GB"/>
        </w:rPr>
        <w:t>CHOICE</w:t>
      </w:r>
      <w:r w:rsidRPr="00275202">
        <w:rPr>
          <w:rFonts w:ascii="Courier New" w:eastAsia="Times New Roman" w:hAnsi="Courier New"/>
          <w:noProof/>
          <w:sz w:val="16"/>
          <w:lang w:eastAsia="en-GB"/>
        </w:rPr>
        <w:t xml:space="preserve"> {</w:t>
      </w:r>
    </w:p>
    <w:p w14:paraId="143ECEFE"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(0..9),</w:t>
      </w:r>
    </w:p>
    <w:p w14:paraId="4897A297"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(0..19),</w:t>
      </w:r>
    </w:p>
    <w:p w14:paraId="7C455D28"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ms32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(0..31),</w:t>
      </w:r>
    </w:p>
    <w:p w14:paraId="0C13D3BA"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(0..39),</w:t>
      </w:r>
    </w:p>
    <w:p w14:paraId="6FAE3459"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(0..59),</w:t>
      </w:r>
    </w:p>
    <w:p w14:paraId="091B39DD"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ms64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(0..63),</w:t>
      </w:r>
    </w:p>
    <w:p w14:paraId="74878CC1"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ms70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(0..69),</w:t>
      </w:r>
    </w:p>
    <w:p w14:paraId="0F2FAE2B"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ms80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(0..79),</w:t>
      </w:r>
    </w:p>
    <w:p w14:paraId="33396A62"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ms128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(0..127),</w:t>
      </w:r>
    </w:p>
    <w:p w14:paraId="3CB3055F"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(0..159),</w:t>
      </w:r>
    </w:p>
    <w:p w14:paraId="3AE1EA33"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ms256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(0..255),</w:t>
      </w:r>
    </w:p>
    <w:p w14:paraId="07E27475"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ms320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(0..319),</w:t>
      </w:r>
    </w:p>
    <w:p w14:paraId="159A5C63"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ms512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(0..511),</w:t>
      </w:r>
    </w:p>
    <w:p w14:paraId="5DD6F810"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ms640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(0..639),</w:t>
      </w:r>
    </w:p>
    <w:p w14:paraId="1AF75D33"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ms1024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(0..1023),</w:t>
      </w:r>
    </w:p>
    <w:p w14:paraId="1EBF29C6"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ms1280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(0..1279),</w:t>
      </w:r>
    </w:p>
    <w:p w14:paraId="26B245E8"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lastRenderedPageBreak/>
        <w:t xml:space="preserve">        ms2048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(0..2047),</w:t>
      </w:r>
    </w:p>
    <w:p w14:paraId="203098DE"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ms2560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(0..2559),</w:t>
      </w:r>
    </w:p>
    <w:p w14:paraId="03655059"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ms5120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(0..5119),</w:t>
      </w:r>
    </w:p>
    <w:p w14:paraId="60C815AF"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ms10240                             </w:t>
      </w:r>
      <w:r w:rsidRPr="00275202">
        <w:rPr>
          <w:rFonts w:ascii="Courier New" w:eastAsia="Times New Roman" w:hAnsi="Courier New"/>
          <w:noProof/>
          <w:color w:val="993366"/>
          <w:sz w:val="16"/>
          <w:lang w:eastAsia="en-GB"/>
        </w:rPr>
        <w:t>INTEGER</w:t>
      </w:r>
      <w:r w:rsidRPr="00275202">
        <w:rPr>
          <w:rFonts w:ascii="Courier New" w:eastAsia="Times New Roman" w:hAnsi="Courier New"/>
          <w:noProof/>
          <w:sz w:val="16"/>
          <w:lang w:eastAsia="en-GB"/>
        </w:rPr>
        <w:t>(0..10239)</w:t>
      </w:r>
    </w:p>
    <w:p w14:paraId="76F4D2FB" w14:textId="77777777" w:rsidR="00275202" w:rsidRPr="00275202" w:rsidRDefault="00275202" w:rsidP="002752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5202">
        <w:rPr>
          <w:rFonts w:ascii="Courier New" w:eastAsia="Times New Roman" w:hAnsi="Courier New"/>
          <w:noProof/>
          <w:sz w:val="16"/>
          <w:lang w:eastAsia="en-GB"/>
        </w:rPr>
        <w:t xml:space="preserve">    },</w:t>
      </w:r>
    </w:p>
    <w:p w14:paraId="196932EF" w14:textId="2315A49E" w:rsidR="00266654" w:rsidRDefault="00266654" w:rsidP="002265F3">
      <w:r>
        <w:t xml:space="preserve">Most of the values available would actually not guarantee a partial overlap with the C-DRX ON duration all the time, in fact other than the configurations where the ON duration and cycle length are very close in value, partial </w:t>
      </w:r>
      <w:r w:rsidR="002A5E9F">
        <w:t>overlap</w:t>
      </w:r>
      <w:r>
        <w:t xml:space="preserve"> is not possible.</w:t>
      </w:r>
    </w:p>
    <w:p w14:paraId="177AAB0E" w14:textId="261053E9" w:rsidR="00266654" w:rsidRPr="00266654" w:rsidRDefault="00266654" w:rsidP="002265F3">
      <w:pPr>
        <w:rPr>
          <w:b/>
          <w:bCs/>
        </w:rPr>
      </w:pPr>
      <w:r w:rsidRPr="00266654">
        <w:rPr>
          <w:b/>
          <w:bCs/>
        </w:rPr>
        <w:t xml:space="preserve">Observation 4: Partial </w:t>
      </w:r>
      <w:r w:rsidR="002A5E9F">
        <w:rPr>
          <w:b/>
          <w:bCs/>
        </w:rPr>
        <w:t>overlap</w:t>
      </w:r>
      <w:r w:rsidRPr="00266654">
        <w:rPr>
          <w:b/>
          <w:bCs/>
        </w:rPr>
        <w:t xml:space="preserve"> cannot be achieved when Cell DTX Periodicity in an integer multiple of UE C-DRX periodicity except for very limited cases with limited NES gains. </w:t>
      </w:r>
    </w:p>
    <w:p w14:paraId="682A4307" w14:textId="749FAB57" w:rsidR="00266654" w:rsidRDefault="00266654" w:rsidP="002265F3">
      <w:r>
        <w:t>An illustrative example give</w:t>
      </w:r>
      <w:r w:rsidR="000F618B">
        <w:t>n</w:t>
      </w:r>
      <w:r>
        <w:t xml:space="preserve"> below with P=2, and ON duration configured to be half of the cycle length:</w:t>
      </w:r>
    </w:p>
    <w:p w14:paraId="218CC3C1" w14:textId="1831E281" w:rsidR="00266654" w:rsidRDefault="00266654" w:rsidP="002265F3">
      <w:r>
        <w:rPr>
          <w:noProof/>
        </w:rPr>
        <w:drawing>
          <wp:inline distT="0" distB="0" distL="0" distR="0" wp14:anchorId="4CCB3838" wp14:editId="75F6171B">
            <wp:extent cx="6122035" cy="2146300"/>
            <wp:effectExtent l="0" t="0" r="0" b="6350"/>
            <wp:docPr id="1121785637"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785637" name="Picture 1" descr="A diagram of a graph&#10;&#10;Description automatically generated"/>
                    <pic:cNvPicPr/>
                  </pic:nvPicPr>
                  <pic:blipFill>
                    <a:blip r:embed="rId14"/>
                    <a:stretch>
                      <a:fillRect/>
                    </a:stretch>
                  </pic:blipFill>
                  <pic:spPr>
                    <a:xfrm>
                      <a:off x="0" y="0"/>
                      <a:ext cx="6122035" cy="2146300"/>
                    </a:xfrm>
                    <a:prstGeom prst="rect">
                      <a:avLst/>
                    </a:prstGeom>
                  </pic:spPr>
                </pic:pic>
              </a:graphicData>
            </a:graphic>
          </wp:inline>
        </w:drawing>
      </w:r>
    </w:p>
    <w:p w14:paraId="33F454CB" w14:textId="46C7B59B" w:rsidR="00266654" w:rsidRDefault="00266654" w:rsidP="002265F3">
      <w:pPr>
        <w:rPr>
          <w:b/>
          <w:bCs/>
        </w:rPr>
      </w:pPr>
      <w:r w:rsidRPr="002A5E9F">
        <w:rPr>
          <w:b/>
          <w:bCs/>
        </w:rPr>
        <w:t xml:space="preserve">Proposal 4: RAN2 to discuss between the following two options for the </w:t>
      </w:r>
      <w:r w:rsidR="002A5E9F" w:rsidRPr="002A5E9F">
        <w:rPr>
          <w:b/>
          <w:bCs/>
        </w:rPr>
        <w:t>case when Cell DTX Periodicity in an integer multiple of UE C-DRX periodicity</w:t>
      </w:r>
      <w:r w:rsidR="000F618B">
        <w:rPr>
          <w:b/>
          <w:bCs/>
        </w:rPr>
        <w:t>:</w:t>
      </w:r>
    </w:p>
    <w:p w14:paraId="5F0A1631" w14:textId="445A0FAC" w:rsidR="000F618B" w:rsidRDefault="000F618B" w:rsidP="000F618B">
      <w:pPr>
        <w:pStyle w:val="ListParagraph"/>
        <w:numPr>
          <w:ilvl w:val="0"/>
          <w:numId w:val="42"/>
        </w:numPr>
        <w:rPr>
          <w:b/>
          <w:bCs/>
        </w:rPr>
      </w:pPr>
      <w:r>
        <w:rPr>
          <w:b/>
          <w:bCs/>
        </w:rPr>
        <w:t xml:space="preserve">Only configurations that guarantee partial overlap are valid. </w:t>
      </w:r>
    </w:p>
    <w:p w14:paraId="24AE7639" w14:textId="4D1C187A" w:rsidR="000F618B" w:rsidRDefault="000F618B" w:rsidP="000F618B">
      <w:pPr>
        <w:pStyle w:val="ListParagraph"/>
        <w:numPr>
          <w:ilvl w:val="0"/>
          <w:numId w:val="42"/>
        </w:numPr>
        <w:rPr>
          <w:b/>
          <w:bCs/>
        </w:rPr>
      </w:pPr>
      <w:r>
        <w:rPr>
          <w:b/>
          <w:bCs/>
        </w:rPr>
        <w:t xml:space="preserve">Configurations that don’t guarantee partial overlap are valid, the UE does not start DRX long cycle in non-overlapped ON duration occasions. </w:t>
      </w:r>
    </w:p>
    <w:p w14:paraId="180739EE" w14:textId="41E8FB09" w:rsidR="000F618B" w:rsidRDefault="000F618B" w:rsidP="000F618B">
      <w:r>
        <w:t xml:space="preserve">On the </w:t>
      </w:r>
      <w:r w:rsidRPr="000F618B">
        <w:rPr>
          <w:highlight w:val="yellow"/>
        </w:rPr>
        <w:t>FFS</w:t>
      </w:r>
      <w:r>
        <w:t xml:space="preserve"> above, we want to emphasize that specifying the alignment between Cell DTX/DRX and UE CDRX is very explicitly mentioned in the WID. Given that it was agreed that alignment is done via binding of periodicities between cell DTX and UE CDRX and that UE implementations of PDCCH blind decoding need to account for all allowed configurations. It would be crucial to guarantee that this periodicity rule is followed, i.e., configurations without this property are disallowed, otherwise, PDCCH decoding implementation must adapt to allow a varying search space per DRX cycle, which is a big change to existing implementations and should be avoided.</w:t>
      </w:r>
    </w:p>
    <w:p w14:paraId="48EFB1F3" w14:textId="7374AD64" w:rsidR="000F618B" w:rsidRDefault="000F618B" w:rsidP="000F618B">
      <w:pPr>
        <w:rPr>
          <w:b/>
          <w:bCs/>
        </w:rPr>
      </w:pPr>
      <w:r w:rsidRPr="000F618B">
        <w:rPr>
          <w:b/>
          <w:bCs/>
        </w:rPr>
        <w:t xml:space="preserve">Proposal 5: The rule that the Cell DTX cycle periodicity is an integer multiple of C-DRX long cycle periodicity, or vice versa, is part of the stage 3 Cell DTX configuration. The Cell DTX periodicity field values are relative integer multiples P of C-DRX long cycles, not absolute millisecond values. </w:t>
      </w:r>
    </w:p>
    <w:p w14:paraId="52178518" w14:textId="33BF4F4F" w:rsidR="00BA7C98" w:rsidRDefault="00BA7C98" w:rsidP="00BA7C98">
      <w:pPr>
        <w:pStyle w:val="Heading2"/>
      </w:pPr>
      <w:r>
        <w:t>Cell DTX and Cell DRX</w:t>
      </w:r>
    </w:p>
    <w:p w14:paraId="2943C8AA" w14:textId="7190657A" w:rsidR="00BA7C98" w:rsidRDefault="00BA7C98" w:rsidP="00BA7C98">
      <w:r>
        <w:t>We currently have the following open issue</w:t>
      </w:r>
    </w:p>
    <w:tbl>
      <w:tblPr>
        <w:tblStyle w:val="TableGrid"/>
        <w:tblW w:w="0" w:type="auto"/>
        <w:tblLook w:val="04A0" w:firstRow="1" w:lastRow="0" w:firstColumn="1" w:lastColumn="0" w:noHBand="0" w:noVBand="1"/>
      </w:tblPr>
      <w:tblGrid>
        <w:gridCol w:w="9631"/>
      </w:tblGrid>
      <w:tr w:rsidR="00BA7C98" w14:paraId="61D79364" w14:textId="77777777" w:rsidTr="00BA7C98">
        <w:tc>
          <w:tcPr>
            <w:tcW w:w="9631" w:type="dxa"/>
          </w:tcPr>
          <w:p w14:paraId="263E44BD" w14:textId="77777777" w:rsidR="00BA7C98" w:rsidRDefault="00BA7C98" w:rsidP="00BA7C98">
            <w:pPr>
              <w:rPr>
                <w:b/>
                <w:bCs/>
              </w:rPr>
            </w:pPr>
            <w:r>
              <w:rPr>
                <w:b/>
                <w:bCs/>
                <w:u w:val="single"/>
              </w:rPr>
              <w:t>Issue 1-5:</w:t>
            </w:r>
            <w:r>
              <w:rPr>
                <w:b/>
                <w:bCs/>
              </w:rPr>
              <w:t xml:space="preserve"> Whether the start offset (and slot offset) configuration should be the same for cell DTX and cell DRX.</w:t>
            </w:r>
          </w:p>
          <w:p w14:paraId="3DDFBF3B" w14:textId="77777777" w:rsidR="00BA7C98" w:rsidRDefault="00BA7C98" w:rsidP="00BA7C98">
            <w:r>
              <w:t xml:space="preserve">Based on the following agreement: </w:t>
            </w:r>
          </w:p>
          <w:p w14:paraId="6686F0FA" w14:textId="1019FCF0" w:rsidR="00BA7C98" w:rsidRPr="00BA7C98" w:rsidRDefault="00BA7C98" w:rsidP="00BA7C98">
            <w:pPr>
              <w:rPr>
                <w:i/>
                <w:iCs/>
              </w:rPr>
            </w:pPr>
            <w:r>
              <w:rPr>
                <w:i/>
                <w:iCs/>
              </w:rPr>
              <w:t xml:space="preserve">On-duration and Cycle parameters are common between cell DTX and DRX, when both are configured.  </w:t>
            </w:r>
            <w:r>
              <w:rPr>
                <w:i/>
                <w:iCs/>
                <w:highlight w:val="yellow"/>
              </w:rPr>
              <w:t>FFS if we have different start offset configuration for cell DTX and cell DRX</w:t>
            </w:r>
          </w:p>
        </w:tc>
      </w:tr>
    </w:tbl>
    <w:p w14:paraId="146A027F" w14:textId="41FC40A7" w:rsidR="00BA7C98" w:rsidRDefault="00BA7C98" w:rsidP="00BA7C98">
      <w:r>
        <w:t xml:space="preserve">From our point of view, different start offsets are not needed at all. Effectively, the UE would have an implicit “start offset” for Cell DRX depending on the SR and CG configurations. A start offset would only target the case where there is an SR or CG configuration between the start time of Cell DTX and Cell DRX, which in our view is a scenario we shouldn’t optimize for. </w:t>
      </w:r>
    </w:p>
    <w:p w14:paraId="600F5CCE" w14:textId="31502FDD" w:rsidR="00BA7C98" w:rsidRDefault="00BA7C98" w:rsidP="00BA7C98">
      <w:pPr>
        <w:rPr>
          <w:b/>
          <w:bCs/>
        </w:rPr>
      </w:pPr>
      <w:r w:rsidRPr="00BA7C98">
        <w:rPr>
          <w:b/>
          <w:bCs/>
        </w:rPr>
        <w:lastRenderedPageBreak/>
        <w:t xml:space="preserve">Proposal 6: Start offset is common between Cell DTX and Cell DRX when both are configured.  </w:t>
      </w:r>
    </w:p>
    <w:p w14:paraId="399F7FBC" w14:textId="6C92EE06" w:rsidR="00BA7C98" w:rsidRDefault="00BA7C98" w:rsidP="00BA7C98">
      <w:pPr>
        <w:pStyle w:val="Heading1"/>
      </w:pPr>
      <w:r>
        <w:t>Multiple Cell DTX/DRX configuration and C-DRX switching.</w:t>
      </w:r>
    </w:p>
    <w:p w14:paraId="48792347" w14:textId="2550F13F" w:rsidR="00BA7C98" w:rsidRDefault="00BA7C98" w:rsidP="00BA7C98">
      <w:r>
        <w:t>Two suggestions were made to add flexibility to the Cell DTX/DRX configuration:</w:t>
      </w:r>
    </w:p>
    <w:p w14:paraId="60ECB783" w14:textId="4AAE4666" w:rsidR="00BA7C98" w:rsidRDefault="00BA7C98" w:rsidP="00BA7C98">
      <w:pPr>
        <w:pStyle w:val="ListParagraph"/>
        <w:numPr>
          <w:ilvl w:val="0"/>
          <w:numId w:val="43"/>
        </w:numPr>
      </w:pPr>
      <w:r>
        <w:t>Multiple cell DTX/DRX configurations that the U</w:t>
      </w:r>
      <w:r w:rsidR="00274344">
        <w:t>E</w:t>
      </w:r>
      <w:r>
        <w:t xml:space="preserve"> can switch between via L1 GC-DCI</w:t>
      </w:r>
    </w:p>
    <w:p w14:paraId="64BB7B4E" w14:textId="28E30945" w:rsidR="00BA7C98" w:rsidRDefault="00BA7C98" w:rsidP="00BA7C98">
      <w:pPr>
        <w:pStyle w:val="ListParagraph"/>
        <w:numPr>
          <w:ilvl w:val="0"/>
          <w:numId w:val="43"/>
        </w:numPr>
      </w:pPr>
      <w:r>
        <w:t>An automatic changing of UE C-DRX configuration upon receiving GC-DCI</w:t>
      </w:r>
    </w:p>
    <w:p w14:paraId="4FEE561F" w14:textId="05FFFE4F" w:rsidR="00BA7C98" w:rsidRDefault="00BA7C98" w:rsidP="00BA7C98">
      <w:r>
        <w:t>To us, those proposals are very similar and in general there are two concerns here:</w:t>
      </w:r>
    </w:p>
    <w:p w14:paraId="505F492C" w14:textId="77777777" w:rsidR="00BA7C98" w:rsidRDefault="00BA7C98" w:rsidP="00BA7C98">
      <w:pPr>
        <w:pStyle w:val="ListParagraph"/>
        <w:numPr>
          <w:ilvl w:val="0"/>
          <w:numId w:val="44"/>
        </w:numPr>
      </w:pPr>
      <w:r>
        <w:t>A missed GC-DCI becomes much more expensive since the UE would be missing a command to essentially change the C-DRX configuration. This may lead the UE and gNB to go out of sync on what is the PDCCH search space at the UE, which may lead to RLF.</w:t>
      </w:r>
    </w:p>
    <w:p w14:paraId="72D7C761" w14:textId="77777777" w:rsidR="00BA7C98" w:rsidRDefault="00BA7C98" w:rsidP="00BA7C98">
      <w:pPr>
        <w:pStyle w:val="ListParagraph"/>
        <w:numPr>
          <w:ilvl w:val="0"/>
          <w:numId w:val="44"/>
        </w:numPr>
      </w:pPr>
      <w:r>
        <w:t xml:space="preserve">C-DRX is part of the MAC state machine and follows the MAC timing. Changing C-DRX configurations via L1 needs a lot of careful work on all the pending MAC procedures in the immediate aftermath of receiving GC-DCI. </w:t>
      </w:r>
    </w:p>
    <w:p w14:paraId="2CB3C66F" w14:textId="7C773645" w:rsidR="00BA7C98" w:rsidRPr="00BA7C98" w:rsidRDefault="00BA7C98" w:rsidP="00BA7C98">
      <w:pPr>
        <w:rPr>
          <w:b/>
          <w:bCs/>
        </w:rPr>
      </w:pPr>
      <w:r w:rsidRPr="00BA7C98">
        <w:rPr>
          <w:b/>
          <w:bCs/>
        </w:rPr>
        <w:t xml:space="preserve">Observation 5: GC-DCI may be missed by the UE and is inherently unreliable, thus, RAN2 should </w:t>
      </w:r>
      <w:r w:rsidR="00274344">
        <w:rPr>
          <w:b/>
          <w:bCs/>
        </w:rPr>
        <w:t xml:space="preserve">not </w:t>
      </w:r>
      <w:r w:rsidRPr="00BA7C98">
        <w:rPr>
          <w:b/>
          <w:bCs/>
        </w:rPr>
        <w:t xml:space="preserve">make it convey too much information to the UE to avoid the UE and gNB going out of sync. </w:t>
      </w:r>
    </w:p>
    <w:p w14:paraId="3E15AFAF" w14:textId="321C0096" w:rsidR="00BA7C98" w:rsidRPr="00BA7C98" w:rsidRDefault="00BA7C98" w:rsidP="00BA7C98">
      <w:pPr>
        <w:rPr>
          <w:b/>
          <w:bCs/>
        </w:rPr>
      </w:pPr>
      <w:r w:rsidRPr="00BA7C98">
        <w:rPr>
          <w:b/>
          <w:bCs/>
        </w:rPr>
        <w:t xml:space="preserve">Proposal 7: Multiple cell DTX/DRX configurations and/or multiple C-DRX configurations with L1 switching are not supported.  </w:t>
      </w:r>
    </w:p>
    <w:p w14:paraId="0E224C59" w14:textId="286FFA00" w:rsidR="0096408F" w:rsidRDefault="0096408F" w:rsidP="00896A70">
      <w:pPr>
        <w:pStyle w:val="Heading1"/>
      </w:pPr>
      <w:r>
        <w:t>Conclusion</w:t>
      </w:r>
    </w:p>
    <w:p w14:paraId="4ECAD952" w14:textId="60765F38" w:rsidR="00FB2B14" w:rsidRPr="00FE67E7" w:rsidRDefault="00FB2B14" w:rsidP="00FB2B14">
      <w:pPr>
        <w:rPr>
          <w:b/>
          <w:bCs/>
        </w:rPr>
      </w:pPr>
      <w:r w:rsidRPr="00FE67E7">
        <w:rPr>
          <w:b/>
          <w:bCs/>
        </w:rPr>
        <w:t xml:space="preserve">Observation 1: Per-cell DTX/DRX would effectively make PDCCH decoding occasions per-carrier, which is big change to the current per-MAC entity well-established PDCCH decoding procedure. </w:t>
      </w:r>
      <w:r>
        <w:rPr>
          <w:b/>
          <w:bCs/>
        </w:rPr>
        <w:t xml:space="preserve">Furthermore, the cell DTX/DRX </w:t>
      </w:r>
      <w:r w:rsidR="00C5403F">
        <w:rPr>
          <w:b/>
          <w:bCs/>
        </w:rPr>
        <w:t xml:space="preserve">capability </w:t>
      </w:r>
      <w:r>
        <w:rPr>
          <w:b/>
          <w:bCs/>
        </w:rPr>
        <w:t>would have to be per Band Combination which would lead to fragmentation and more implementation difficulty.</w:t>
      </w:r>
    </w:p>
    <w:p w14:paraId="57000E35" w14:textId="77777777" w:rsidR="00FB2B14" w:rsidRDefault="00FB2B14" w:rsidP="00FB2B14">
      <w:pPr>
        <w:rPr>
          <w:b/>
          <w:bCs/>
        </w:rPr>
      </w:pPr>
      <w:r w:rsidRPr="00FE67E7">
        <w:rPr>
          <w:b/>
          <w:bCs/>
        </w:rPr>
        <w:t>Observation 2: There is no use case that requires the UE to be configured with CA if both carriers are lightly loaded to the extent of performing cell DTX/DRX.</w:t>
      </w:r>
    </w:p>
    <w:p w14:paraId="382DE4EA" w14:textId="77777777" w:rsidR="00FB2B14" w:rsidRDefault="00FB2B14" w:rsidP="00FB2B14">
      <w:pPr>
        <w:rPr>
          <w:b/>
          <w:bCs/>
        </w:rPr>
      </w:pPr>
      <w:r w:rsidRPr="004E6A6C">
        <w:rPr>
          <w:b/>
          <w:bCs/>
        </w:rPr>
        <w:t>Proposal 1: Cell DTX/DRX is configured on top of C-DRX</w:t>
      </w:r>
      <w:r>
        <w:rPr>
          <w:b/>
          <w:bCs/>
        </w:rPr>
        <w:t>. RAN2 to decide between the following two options:</w:t>
      </w:r>
    </w:p>
    <w:p w14:paraId="53B3C0CB" w14:textId="77777777" w:rsidR="00FB2B14" w:rsidRDefault="00FB2B14" w:rsidP="00FB2B14">
      <w:pPr>
        <w:pStyle w:val="ListParagraph"/>
        <w:numPr>
          <w:ilvl w:val="0"/>
          <w:numId w:val="40"/>
        </w:numPr>
        <w:rPr>
          <w:b/>
          <w:bCs/>
        </w:rPr>
      </w:pPr>
      <w:r>
        <w:rPr>
          <w:b/>
          <w:bCs/>
        </w:rPr>
        <w:t xml:space="preserve">Option 1: Single Cell DTX/DRX configuration per MAC entity. </w:t>
      </w:r>
    </w:p>
    <w:p w14:paraId="31F81925" w14:textId="77777777" w:rsidR="00FB2B14" w:rsidRDefault="00FB2B14" w:rsidP="00FB2B14">
      <w:pPr>
        <w:pStyle w:val="ListParagraph"/>
        <w:numPr>
          <w:ilvl w:val="0"/>
          <w:numId w:val="40"/>
        </w:numPr>
        <w:rPr>
          <w:b/>
          <w:bCs/>
        </w:rPr>
      </w:pPr>
      <w:r>
        <w:rPr>
          <w:b/>
          <w:bCs/>
        </w:rPr>
        <w:t xml:space="preserve">Option 2: Single Cell DTX/DRX configuration per C-DRX group. </w:t>
      </w:r>
    </w:p>
    <w:p w14:paraId="15E95B6A" w14:textId="2674B613" w:rsidR="00FB2B14" w:rsidRDefault="00FB2B14" w:rsidP="00FB2B14">
      <w:pPr>
        <w:rPr>
          <w:b/>
          <w:bCs/>
        </w:rPr>
      </w:pPr>
      <w:r w:rsidRPr="00ED28F3">
        <w:rPr>
          <w:b/>
          <w:bCs/>
        </w:rPr>
        <w:t xml:space="preserve">Proposal 2:  An Scell cannot activate a cell DTX/DRX pattern unless it is activated for the Pcell of the cell group. Scell cell DTX/DRX active time must be contained in Pcell active time. </w:t>
      </w:r>
    </w:p>
    <w:p w14:paraId="3464A31D" w14:textId="77777777" w:rsidR="00FB2B14" w:rsidRPr="00E51A92" w:rsidRDefault="00FB2B14" w:rsidP="00FB2B14">
      <w:pPr>
        <w:rPr>
          <w:b/>
          <w:bCs/>
        </w:rPr>
      </w:pPr>
      <w:r w:rsidRPr="00E51A92">
        <w:rPr>
          <w:b/>
          <w:bCs/>
        </w:rPr>
        <w:t>Observation 3: The following needs to be discussed in RAN2:</w:t>
      </w:r>
    </w:p>
    <w:p w14:paraId="13D24C74" w14:textId="77777777" w:rsidR="00FB2B14" w:rsidRPr="00E51A92" w:rsidRDefault="00FB2B14" w:rsidP="00FB2B14">
      <w:pPr>
        <w:pStyle w:val="ListParagraph"/>
        <w:numPr>
          <w:ilvl w:val="0"/>
          <w:numId w:val="41"/>
        </w:numPr>
        <w:rPr>
          <w:b/>
          <w:bCs/>
        </w:rPr>
      </w:pPr>
      <w:r w:rsidRPr="00E51A92">
        <w:rPr>
          <w:b/>
          <w:bCs/>
        </w:rPr>
        <w:t>Interplay between CDRX and DCI2_X</w:t>
      </w:r>
    </w:p>
    <w:p w14:paraId="05CBCB78" w14:textId="77777777" w:rsidR="00FB2B14" w:rsidRPr="00E51A92" w:rsidRDefault="00FB2B14" w:rsidP="00FB2B14">
      <w:pPr>
        <w:pStyle w:val="ListParagraph"/>
        <w:numPr>
          <w:ilvl w:val="0"/>
          <w:numId w:val="41"/>
        </w:numPr>
        <w:rPr>
          <w:b/>
          <w:bCs/>
        </w:rPr>
      </w:pPr>
      <w:r w:rsidRPr="00E51A92">
        <w:rPr>
          <w:b/>
          <w:bCs/>
        </w:rPr>
        <w:t>How quickly can MAC apply (de)activation L1 signal?</w:t>
      </w:r>
    </w:p>
    <w:p w14:paraId="76497F73" w14:textId="77777777" w:rsidR="00FB2B14" w:rsidRPr="00932F53" w:rsidRDefault="00FB2B14" w:rsidP="00FB2B14">
      <w:pPr>
        <w:rPr>
          <w:b/>
          <w:bCs/>
        </w:rPr>
      </w:pPr>
      <w:r w:rsidRPr="00932F53">
        <w:rPr>
          <w:b/>
          <w:bCs/>
        </w:rPr>
        <w:t xml:space="preserve">Proposal 3:  UE is not expected to decode Cell DTX/DRX (de)activation DCI outside of its active time. A (de)activation signal at the UE applies from the start of the next Cell DTX/DRX active time. </w:t>
      </w:r>
    </w:p>
    <w:p w14:paraId="7CAB5C34" w14:textId="77777777" w:rsidR="00FB2B14" w:rsidRPr="00266654" w:rsidRDefault="00FB2B14" w:rsidP="00FB2B14">
      <w:pPr>
        <w:rPr>
          <w:b/>
          <w:bCs/>
        </w:rPr>
      </w:pPr>
      <w:r w:rsidRPr="00266654">
        <w:rPr>
          <w:b/>
          <w:bCs/>
        </w:rPr>
        <w:t xml:space="preserve">Observation 4: Partial </w:t>
      </w:r>
      <w:r>
        <w:rPr>
          <w:b/>
          <w:bCs/>
        </w:rPr>
        <w:t>overlap</w:t>
      </w:r>
      <w:r w:rsidRPr="00266654">
        <w:rPr>
          <w:b/>
          <w:bCs/>
        </w:rPr>
        <w:t xml:space="preserve"> cannot be achieved when Cell DTX Periodicity in an integer multiple of UE C-DRX periodicity except for very limited cases with limited NES gains. </w:t>
      </w:r>
    </w:p>
    <w:p w14:paraId="54FD39CA" w14:textId="77777777" w:rsidR="00FB2B14" w:rsidRDefault="00FB2B14" w:rsidP="00FB2B14">
      <w:pPr>
        <w:rPr>
          <w:b/>
          <w:bCs/>
        </w:rPr>
      </w:pPr>
      <w:r w:rsidRPr="002A5E9F">
        <w:rPr>
          <w:b/>
          <w:bCs/>
        </w:rPr>
        <w:t>Proposal 4: RAN2 to discuss between the following two options for the case when Cell DTX Periodicity in an integer multiple of UE C-DRX periodicity</w:t>
      </w:r>
      <w:r>
        <w:rPr>
          <w:b/>
          <w:bCs/>
        </w:rPr>
        <w:t>:</w:t>
      </w:r>
    </w:p>
    <w:p w14:paraId="119EE0D0" w14:textId="77777777" w:rsidR="00FB2B14" w:rsidRDefault="00FB2B14" w:rsidP="00FB2B14">
      <w:pPr>
        <w:pStyle w:val="ListParagraph"/>
        <w:numPr>
          <w:ilvl w:val="0"/>
          <w:numId w:val="42"/>
        </w:numPr>
        <w:rPr>
          <w:b/>
          <w:bCs/>
        </w:rPr>
      </w:pPr>
      <w:r>
        <w:rPr>
          <w:b/>
          <w:bCs/>
        </w:rPr>
        <w:t xml:space="preserve">Only configurations that guarantee partial overlap are valid. </w:t>
      </w:r>
    </w:p>
    <w:p w14:paraId="17234AA8" w14:textId="77777777" w:rsidR="00FB2B14" w:rsidRDefault="00FB2B14" w:rsidP="00FB2B14">
      <w:pPr>
        <w:pStyle w:val="ListParagraph"/>
        <w:numPr>
          <w:ilvl w:val="0"/>
          <w:numId w:val="42"/>
        </w:numPr>
        <w:rPr>
          <w:b/>
          <w:bCs/>
        </w:rPr>
      </w:pPr>
      <w:r>
        <w:rPr>
          <w:b/>
          <w:bCs/>
        </w:rPr>
        <w:t xml:space="preserve">Configurations that don’t guarantee partial overlap are valid, the UE does not start DRX long cycle in non-overlapped ON duration occasions. </w:t>
      </w:r>
    </w:p>
    <w:p w14:paraId="3FF3C042" w14:textId="77777777" w:rsidR="00FB2B14" w:rsidRDefault="00FB2B14" w:rsidP="00FB2B14">
      <w:pPr>
        <w:rPr>
          <w:b/>
          <w:bCs/>
        </w:rPr>
      </w:pPr>
      <w:r w:rsidRPr="000F618B">
        <w:rPr>
          <w:b/>
          <w:bCs/>
        </w:rPr>
        <w:lastRenderedPageBreak/>
        <w:t xml:space="preserve">Proposal 5: The rule that the Cell DTX cycle periodicity is an integer multiple of C-DRX long cycle periodicity, or vice versa, is part of the stage 3 Cell DTX configuration. The Cell DTX periodicity field values are relative integer multiples P of C-DRX long cycles, not absolute millisecond values. </w:t>
      </w:r>
    </w:p>
    <w:p w14:paraId="05238AC8" w14:textId="77777777" w:rsidR="00FB2B14" w:rsidRPr="00BA7C98" w:rsidRDefault="00FB2B14" w:rsidP="00FB2B14">
      <w:pPr>
        <w:rPr>
          <w:b/>
          <w:bCs/>
        </w:rPr>
      </w:pPr>
      <w:r w:rsidRPr="00BA7C98">
        <w:rPr>
          <w:b/>
          <w:bCs/>
        </w:rPr>
        <w:t xml:space="preserve">Observation 5: GC-DCI may be missed by the UE and is inherently unreliable, thus, RAN2 should </w:t>
      </w:r>
      <w:r>
        <w:rPr>
          <w:b/>
          <w:bCs/>
        </w:rPr>
        <w:t xml:space="preserve">not </w:t>
      </w:r>
      <w:r w:rsidRPr="00BA7C98">
        <w:rPr>
          <w:b/>
          <w:bCs/>
        </w:rPr>
        <w:t xml:space="preserve">make it convey too much information to the UE to avoid the UE and gNB going out of sync. </w:t>
      </w:r>
    </w:p>
    <w:p w14:paraId="3F8FD639" w14:textId="77777777" w:rsidR="00FB2B14" w:rsidRPr="00BA7C98" w:rsidRDefault="00FB2B14" w:rsidP="00FB2B14">
      <w:pPr>
        <w:rPr>
          <w:b/>
          <w:bCs/>
        </w:rPr>
      </w:pPr>
      <w:r w:rsidRPr="00BA7C98">
        <w:rPr>
          <w:b/>
          <w:bCs/>
        </w:rPr>
        <w:t xml:space="preserve">Proposal 7: Multiple cell DTX/DRX configurations and/or multiple C-DRX configurations with L1 switching are not supported.  </w:t>
      </w:r>
    </w:p>
    <w:p w14:paraId="7F9A5B2E" w14:textId="77777777" w:rsidR="00CD4C7B" w:rsidRPr="00320A6B" w:rsidRDefault="00CD4C7B" w:rsidP="00CD4C7B">
      <w:pPr>
        <w:pStyle w:val="Heading1"/>
      </w:pPr>
      <w:r w:rsidRPr="00320A6B">
        <w:t>References</w:t>
      </w:r>
    </w:p>
    <w:p w14:paraId="27E31106" w14:textId="77777777" w:rsidR="00F26A41" w:rsidRDefault="00F26A41" w:rsidP="00F0385D">
      <w:pPr>
        <w:pStyle w:val="References"/>
        <w:numPr>
          <w:ilvl w:val="0"/>
          <w:numId w:val="6"/>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5BFA7C35" w14:textId="1CF6E518" w:rsidR="00911879" w:rsidRDefault="00911879" w:rsidP="00F0385D">
      <w:pPr>
        <w:pStyle w:val="References"/>
        <w:numPr>
          <w:ilvl w:val="0"/>
          <w:numId w:val="6"/>
        </w:numPr>
        <w:tabs>
          <w:tab w:val="clear" w:pos="567"/>
        </w:tabs>
        <w:autoSpaceDE/>
        <w:autoSpaceDN/>
        <w:snapToGrid/>
        <w:spacing w:after="120"/>
      </w:pPr>
      <w:r w:rsidRPr="00911879">
        <w:t>R1-2306246</w:t>
      </w:r>
      <w:r w:rsidR="009A0ED1">
        <w:t xml:space="preserve">: </w:t>
      </w:r>
      <w:r w:rsidR="009A0ED1" w:rsidRPr="009A0ED1">
        <w:t>Reply LS on Cell DTX/DRX activation/deactivation</w:t>
      </w:r>
      <w:r w:rsidR="006B1907">
        <w:t xml:space="preserve"> </w:t>
      </w:r>
    </w:p>
    <w:p w14:paraId="23E302CC" w14:textId="3B2579A0" w:rsidR="00C623F2" w:rsidRPr="00713C82" w:rsidRDefault="00E446E6" w:rsidP="00E446E6">
      <w:pPr>
        <w:pStyle w:val="References"/>
        <w:numPr>
          <w:ilvl w:val="0"/>
          <w:numId w:val="6"/>
        </w:numPr>
        <w:tabs>
          <w:tab w:val="clear" w:pos="567"/>
        </w:tabs>
        <w:autoSpaceDE/>
        <w:autoSpaceDN/>
        <w:snapToGrid/>
        <w:spacing w:after="120"/>
        <w:rPr>
          <w:rFonts w:eastAsiaTheme="minorEastAsia"/>
          <w:szCs w:val="20"/>
          <w:lang w:val="de-DE"/>
        </w:rPr>
      </w:pPr>
      <w:r w:rsidRPr="0047642A">
        <w:rPr>
          <w:sz w:val="22"/>
          <w:szCs w:val="22"/>
        </w:rPr>
        <w:t>Outcome of</w:t>
      </w:r>
      <w:r>
        <w:rPr>
          <w:sz w:val="22"/>
          <w:szCs w:val="22"/>
        </w:rPr>
        <w:t xml:space="preserve"> </w:t>
      </w:r>
      <w:r w:rsidRPr="006A6222">
        <w:rPr>
          <w:sz w:val="22"/>
          <w:szCs w:val="22"/>
        </w:rPr>
        <w:t>[Post122][307][NES] DTX/DRX – alignment, single/multiple configurations, parameter values</w:t>
      </w:r>
      <w:r w:rsidRPr="0047642A">
        <w:rPr>
          <w:sz w:val="22"/>
          <w:szCs w:val="22"/>
        </w:rPr>
        <w:t xml:space="preserve"> (Huawei)</w:t>
      </w:r>
    </w:p>
    <w:p w14:paraId="2A3C7399" w14:textId="48D17067" w:rsidR="00713C82" w:rsidRPr="00F34934" w:rsidRDefault="00713C82" w:rsidP="00E446E6">
      <w:pPr>
        <w:pStyle w:val="References"/>
        <w:numPr>
          <w:ilvl w:val="0"/>
          <w:numId w:val="6"/>
        </w:numPr>
        <w:tabs>
          <w:tab w:val="clear" w:pos="567"/>
        </w:tabs>
        <w:autoSpaceDE/>
        <w:autoSpaceDN/>
        <w:snapToGrid/>
        <w:spacing w:after="120"/>
        <w:rPr>
          <w:rFonts w:eastAsiaTheme="minorEastAsia"/>
          <w:szCs w:val="20"/>
          <w:lang w:val="de-DE"/>
        </w:rPr>
      </w:pPr>
      <w:r>
        <w:rPr>
          <w:rFonts w:eastAsiaTheme="minorEastAsia"/>
          <w:szCs w:val="20"/>
          <w:lang w:val="de-DE"/>
        </w:rPr>
        <w:t>R2-2305081</w:t>
      </w:r>
      <w:r w:rsidR="006B1907">
        <w:rPr>
          <w:rFonts w:eastAsiaTheme="minorEastAsia"/>
          <w:szCs w:val="20"/>
          <w:lang w:val="de-DE"/>
        </w:rPr>
        <w:t>:</w:t>
      </w:r>
      <w:r>
        <w:rPr>
          <w:rFonts w:eastAsiaTheme="minorEastAsia"/>
          <w:szCs w:val="20"/>
          <w:lang w:val="de-DE"/>
        </w:rPr>
        <w:t xml:space="preserve"> </w:t>
      </w:r>
      <w:r w:rsidRPr="00713C82">
        <w:rPr>
          <w:rFonts w:eastAsiaTheme="minorEastAsia"/>
          <w:szCs w:val="20"/>
          <w:lang w:val="de-DE"/>
        </w:rPr>
        <w:t>Support high priority traffic in Cell DTX / DRX</w:t>
      </w:r>
      <w:r w:rsidR="006B1907">
        <w:rPr>
          <w:rFonts w:eastAsiaTheme="minorEastAsia"/>
          <w:szCs w:val="20"/>
          <w:lang w:val="de-DE"/>
        </w:rPr>
        <w:t xml:space="preserve">. </w:t>
      </w:r>
      <w:r w:rsidR="006B1907" w:rsidRPr="006B1907">
        <w:rPr>
          <w:rFonts w:eastAsiaTheme="minorEastAsia"/>
          <w:szCs w:val="20"/>
          <w:lang w:val="de-DE"/>
        </w:rPr>
        <w:t>Apple, InterDigital, T-Mobile USA, MediaTek Inc., Intel</w:t>
      </w:r>
      <w:r w:rsidR="006B1907">
        <w:rPr>
          <w:rFonts w:eastAsiaTheme="minorEastAsia"/>
          <w:szCs w:val="20"/>
          <w:lang w:val="de-DE"/>
        </w:rPr>
        <w:t xml:space="preserve"> </w:t>
      </w:r>
    </w:p>
    <w:sectPr w:rsidR="00713C82" w:rsidRPr="00F349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1F02" w14:textId="77777777" w:rsidR="00476050" w:rsidRDefault="00476050">
      <w:r>
        <w:separator/>
      </w:r>
    </w:p>
  </w:endnote>
  <w:endnote w:type="continuationSeparator" w:id="0">
    <w:p w14:paraId="0315193A" w14:textId="77777777" w:rsidR="00476050" w:rsidRDefault="00476050">
      <w:r>
        <w:continuationSeparator/>
      </w:r>
    </w:p>
  </w:endnote>
  <w:endnote w:type="continuationNotice" w:id="1">
    <w:p w14:paraId="443DA79D" w14:textId="77777777" w:rsidR="00476050" w:rsidRDefault="00476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6A95E" w14:textId="77777777" w:rsidR="00476050" w:rsidRDefault="00476050">
      <w:r>
        <w:separator/>
      </w:r>
    </w:p>
  </w:footnote>
  <w:footnote w:type="continuationSeparator" w:id="0">
    <w:p w14:paraId="1873FC1C" w14:textId="77777777" w:rsidR="00476050" w:rsidRDefault="00476050">
      <w:r>
        <w:continuationSeparator/>
      </w:r>
    </w:p>
  </w:footnote>
  <w:footnote w:type="continuationNotice" w:id="1">
    <w:p w14:paraId="4BE4EDA5" w14:textId="77777777" w:rsidR="00476050" w:rsidRDefault="0047605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B56050"/>
    <w:multiLevelType w:val="hybridMultilevel"/>
    <w:tmpl w:val="4E941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917FC"/>
    <w:multiLevelType w:val="hybridMultilevel"/>
    <w:tmpl w:val="82708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70C66"/>
    <w:multiLevelType w:val="hybridMultilevel"/>
    <w:tmpl w:val="B4AA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976595"/>
    <w:multiLevelType w:val="hybridMultilevel"/>
    <w:tmpl w:val="D572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951FB"/>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97313D3"/>
    <w:multiLevelType w:val="hybridMultilevel"/>
    <w:tmpl w:val="80F2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FA0745"/>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1"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27DE2C00"/>
    <w:multiLevelType w:val="hybridMultilevel"/>
    <w:tmpl w:val="8D36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B5341"/>
    <w:multiLevelType w:val="hybridMultilevel"/>
    <w:tmpl w:val="B6F0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C37097"/>
    <w:multiLevelType w:val="hybridMultilevel"/>
    <w:tmpl w:val="2868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56931"/>
    <w:multiLevelType w:val="hybridMultilevel"/>
    <w:tmpl w:val="7F4E5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71C0A"/>
    <w:multiLevelType w:val="hybridMultilevel"/>
    <w:tmpl w:val="EC062924"/>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6957420"/>
    <w:multiLevelType w:val="hybridMultilevel"/>
    <w:tmpl w:val="A900038C"/>
    <w:lvl w:ilvl="0" w:tplc="EA1CE49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49CC5296"/>
    <w:multiLevelType w:val="hybridMultilevel"/>
    <w:tmpl w:val="1A6A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2D738A"/>
    <w:multiLevelType w:val="hybridMultilevel"/>
    <w:tmpl w:val="AD7625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8392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78D7210"/>
    <w:multiLevelType w:val="hybridMultilevel"/>
    <w:tmpl w:val="30D61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06020C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62F7714A"/>
    <w:multiLevelType w:val="hybridMultilevel"/>
    <w:tmpl w:val="EE028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5120B"/>
    <w:multiLevelType w:val="hybridMultilevel"/>
    <w:tmpl w:val="1AD82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D77264"/>
    <w:multiLevelType w:val="hybridMultilevel"/>
    <w:tmpl w:val="736A1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E6EB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0" w15:restartNumberingAfterBreak="0">
    <w:nsid w:val="7A4C0BD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B9B2BA0"/>
    <w:multiLevelType w:val="hybridMultilevel"/>
    <w:tmpl w:val="A5BE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B00BF7"/>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36"/>
  </w:num>
  <w:num w:numId="2" w16cid:durableId="1101799896">
    <w:abstractNumId w:val="24"/>
  </w:num>
  <w:num w:numId="3" w16cid:durableId="669144336">
    <w:abstractNumId w:val="34"/>
  </w:num>
  <w:num w:numId="4" w16cid:durableId="41370999">
    <w:abstractNumId w:val="35"/>
  </w:num>
  <w:num w:numId="5" w16cid:durableId="104693123">
    <w:abstractNumId w:val="32"/>
  </w:num>
  <w:num w:numId="6" w16cid:durableId="239632339">
    <w:abstractNumId w:val="0"/>
  </w:num>
  <w:num w:numId="7" w16cid:durableId="188422281">
    <w:abstractNumId w:val="16"/>
  </w:num>
  <w:num w:numId="8" w16cid:durableId="15517723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375674">
    <w:abstractNumId w:val="23"/>
  </w:num>
  <w:num w:numId="10" w16cid:durableId="1010915567">
    <w:abstractNumId w:val="9"/>
  </w:num>
  <w:num w:numId="11" w16cid:durableId="220559122">
    <w:abstractNumId w:val="15"/>
  </w:num>
  <w:num w:numId="12" w16cid:durableId="1426148217">
    <w:abstractNumId w:val="13"/>
  </w:num>
  <w:num w:numId="13" w16cid:durableId="1289698022">
    <w:abstractNumId w:val="25"/>
  </w:num>
  <w:num w:numId="14" w16cid:durableId="1979845302">
    <w:abstractNumId w:val="2"/>
  </w:num>
  <w:num w:numId="15" w16cid:durableId="1821847791">
    <w:abstractNumId w:val="37"/>
  </w:num>
  <w:num w:numId="16" w16cid:durableId="1150943285">
    <w:abstractNumId w:val="5"/>
  </w:num>
  <w:num w:numId="17" w16cid:durableId="488643997">
    <w:abstractNumId w:val="28"/>
  </w:num>
  <w:num w:numId="18" w16cid:durableId="528224297">
    <w:abstractNumId w:val="11"/>
  </w:num>
  <w:num w:numId="19" w16cid:durableId="1390887120">
    <w:abstractNumId w:val="7"/>
  </w:num>
  <w:num w:numId="20" w16cid:durableId="1652322853">
    <w:abstractNumId w:val="19"/>
  </w:num>
  <w:num w:numId="21" w16cid:durableId="1463419241">
    <w:abstractNumId w:val="39"/>
  </w:num>
  <w:num w:numId="22" w16cid:durableId="56982371">
    <w:abstractNumId w:val="14"/>
  </w:num>
  <w:num w:numId="23" w16cid:durableId="744836227">
    <w:abstractNumId w:val="26"/>
  </w:num>
  <w:num w:numId="24" w16cid:durableId="320475383">
    <w:abstractNumId w:val="4"/>
  </w:num>
  <w:num w:numId="25" w16cid:durableId="545410840">
    <w:abstractNumId w:val="10"/>
  </w:num>
  <w:num w:numId="26" w16cid:durableId="846745610">
    <w:abstractNumId w:val="29"/>
  </w:num>
  <w:num w:numId="27" w16cid:durableId="1076710324">
    <w:abstractNumId w:val="42"/>
  </w:num>
  <w:num w:numId="28" w16cid:durableId="1132939173">
    <w:abstractNumId w:val="40"/>
  </w:num>
  <w:num w:numId="29" w16cid:durableId="48312645">
    <w:abstractNumId w:val="6"/>
  </w:num>
  <w:num w:numId="30" w16cid:durableId="1360201206">
    <w:abstractNumId w:val="22"/>
  </w:num>
  <w:num w:numId="31" w16cid:durableId="2138452849">
    <w:abstractNumId w:val="38"/>
  </w:num>
  <w:num w:numId="32" w16cid:durableId="2142575990">
    <w:abstractNumId w:val="30"/>
  </w:num>
  <w:num w:numId="33" w16cid:durableId="1631327460">
    <w:abstractNumId w:val="1"/>
  </w:num>
  <w:num w:numId="34" w16cid:durableId="1187644865">
    <w:abstractNumId w:val="33"/>
  </w:num>
  <w:num w:numId="35" w16cid:durableId="1464618833">
    <w:abstractNumId w:val="8"/>
  </w:num>
  <w:num w:numId="36" w16cid:durableId="1377466705">
    <w:abstractNumId w:val="12"/>
  </w:num>
  <w:num w:numId="37" w16cid:durableId="798887569">
    <w:abstractNumId w:val="41"/>
  </w:num>
  <w:num w:numId="38" w16cid:durableId="1811357936">
    <w:abstractNumId w:val="17"/>
  </w:num>
  <w:num w:numId="39" w16cid:durableId="7078045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6958415">
    <w:abstractNumId w:val="27"/>
  </w:num>
  <w:num w:numId="41" w16cid:durableId="636492830">
    <w:abstractNumId w:val="31"/>
  </w:num>
  <w:num w:numId="42" w16cid:durableId="685211488">
    <w:abstractNumId w:val="21"/>
  </w:num>
  <w:num w:numId="43" w16cid:durableId="1638536299">
    <w:abstractNumId w:val="3"/>
  </w:num>
  <w:num w:numId="44" w16cid:durableId="1662153934">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1A50"/>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D3"/>
    <w:rsid w:val="00092753"/>
    <w:rsid w:val="00093164"/>
    <w:rsid w:val="000932EC"/>
    <w:rsid w:val="0009381E"/>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18B"/>
    <w:rsid w:val="000F6D44"/>
    <w:rsid w:val="000F6E81"/>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A2A"/>
    <w:rsid w:val="00123DB1"/>
    <w:rsid w:val="001241A8"/>
    <w:rsid w:val="00124B3D"/>
    <w:rsid w:val="00125BFD"/>
    <w:rsid w:val="00126209"/>
    <w:rsid w:val="00126D29"/>
    <w:rsid w:val="00127B78"/>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3DBF"/>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191"/>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2F4"/>
    <w:rsid w:val="002100CC"/>
    <w:rsid w:val="0021282D"/>
    <w:rsid w:val="0021353E"/>
    <w:rsid w:val="002135CA"/>
    <w:rsid w:val="002138DD"/>
    <w:rsid w:val="00214415"/>
    <w:rsid w:val="00214E95"/>
    <w:rsid w:val="00215774"/>
    <w:rsid w:val="00215A44"/>
    <w:rsid w:val="00215C7D"/>
    <w:rsid w:val="00216471"/>
    <w:rsid w:val="00216FA7"/>
    <w:rsid w:val="002201C1"/>
    <w:rsid w:val="002209BB"/>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65F3"/>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6EFB"/>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6654"/>
    <w:rsid w:val="00267147"/>
    <w:rsid w:val="0027053F"/>
    <w:rsid w:val="00270F19"/>
    <w:rsid w:val="0027112D"/>
    <w:rsid w:val="002711A3"/>
    <w:rsid w:val="00271E30"/>
    <w:rsid w:val="00271E96"/>
    <w:rsid w:val="00271F03"/>
    <w:rsid w:val="0027207B"/>
    <w:rsid w:val="00272C79"/>
    <w:rsid w:val="00273961"/>
    <w:rsid w:val="002740F0"/>
    <w:rsid w:val="00274344"/>
    <w:rsid w:val="0027479D"/>
    <w:rsid w:val="002747EC"/>
    <w:rsid w:val="00274E85"/>
    <w:rsid w:val="00275202"/>
    <w:rsid w:val="0027537D"/>
    <w:rsid w:val="00275A13"/>
    <w:rsid w:val="0027640C"/>
    <w:rsid w:val="002766E6"/>
    <w:rsid w:val="0027697F"/>
    <w:rsid w:val="0027700B"/>
    <w:rsid w:val="002779A1"/>
    <w:rsid w:val="002805EC"/>
    <w:rsid w:val="00280F5B"/>
    <w:rsid w:val="00280F80"/>
    <w:rsid w:val="0028154D"/>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E9F"/>
    <w:rsid w:val="002A5FEE"/>
    <w:rsid w:val="002A6AED"/>
    <w:rsid w:val="002A703E"/>
    <w:rsid w:val="002A717B"/>
    <w:rsid w:val="002B0A23"/>
    <w:rsid w:val="002B13F4"/>
    <w:rsid w:val="002B17AD"/>
    <w:rsid w:val="002B1CCD"/>
    <w:rsid w:val="002B1CFD"/>
    <w:rsid w:val="002B1E0A"/>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32F7"/>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B60"/>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188"/>
    <w:rsid w:val="003C5F91"/>
    <w:rsid w:val="003C6194"/>
    <w:rsid w:val="003C66DE"/>
    <w:rsid w:val="003C7318"/>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0FB8"/>
    <w:rsid w:val="00421A80"/>
    <w:rsid w:val="004223D5"/>
    <w:rsid w:val="00422461"/>
    <w:rsid w:val="0042394C"/>
    <w:rsid w:val="0042472B"/>
    <w:rsid w:val="004248F5"/>
    <w:rsid w:val="004265A3"/>
    <w:rsid w:val="0042683C"/>
    <w:rsid w:val="004269D0"/>
    <w:rsid w:val="004275A9"/>
    <w:rsid w:val="004301C1"/>
    <w:rsid w:val="0043027D"/>
    <w:rsid w:val="0043056E"/>
    <w:rsid w:val="00430D92"/>
    <w:rsid w:val="004316D5"/>
    <w:rsid w:val="00431B58"/>
    <w:rsid w:val="0043210E"/>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050"/>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7E9"/>
    <w:rsid w:val="004A0D15"/>
    <w:rsid w:val="004A1D1B"/>
    <w:rsid w:val="004A2B72"/>
    <w:rsid w:val="004A32F3"/>
    <w:rsid w:val="004A40FB"/>
    <w:rsid w:val="004A43F6"/>
    <w:rsid w:val="004A4700"/>
    <w:rsid w:val="004A51CD"/>
    <w:rsid w:val="004A5853"/>
    <w:rsid w:val="004A59F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B07"/>
    <w:rsid w:val="004D6986"/>
    <w:rsid w:val="004E0B7F"/>
    <w:rsid w:val="004E0C79"/>
    <w:rsid w:val="004E0E22"/>
    <w:rsid w:val="004E1147"/>
    <w:rsid w:val="004E213A"/>
    <w:rsid w:val="004E2917"/>
    <w:rsid w:val="004E383E"/>
    <w:rsid w:val="004E419E"/>
    <w:rsid w:val="004E48C4"/>
    <w:rsid w:val="004E663F"/>
    <w:rsid w:val="004E6967"/>
    <w:rsid w:val="004E6A6C"/>
    <w:rsid w:val="004E7433"/>
    <w:rsid w:val="004E7D8F"/>
    <w:rsid w:val="004F012B"/>
    <w:rsid w:val="004F0DE1"/>
    <w:rsid w:val="004F0F3A"/>
    <w:rsid w:val="004F10A5"/>
    <w:rsid w:val="004F156A"/>
    <w:rsid w:val="004F2463"/>
    <w:rsid w:val="004F29E2"/>
    <w:rsid w:val="004F4CE8"/>
    <w:rsid w:val="004F66F0"/>
    <w:rsid w:val="004F689B"/>
    <w:rsid w:val="004F6CC1"/>
    <w:rsid w:val="004F6D0B"/>
    <w:rsid w:val="00502735"/>
    <w:rsid w:val="00502BC6"/>
    <w:rsid w:val="00503171"/>
    <w:rsid w:val="005037A0"/>
    <w:rsid w:val="00503942"/>
    <w:rsid w:val="005041E4"/>
    <w:rsid w:val="0050472B"/>
    <w:rsid w:val="00504CEB"/>
    <w:rsid w:val="005056A1"/>
    <w:rsid w:val="005060BF"/>
    <w:rsid w:val="005061AD"/>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E9F"/>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06E5"/>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4D7"/>
    <w:rsid w:val="005D4764"/>
    <w:rsid w:val="005D5447"/>
    <w:rsid w:val="005D5D12"/>
    <w:rsid w:val="005D5F79"/>
    <w:rsid w:val="005D661E"/>
    <w:rsid w:val="005D73AF"/>
    <w:rsid w:val="005D75B8"/>
    <w:rsid w:val="005E0023"/>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47D"/>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907"/>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3F"/>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3C82"/>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4349"/>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5E"/>
    <w:rsid w:val="008267DC"/>
    <w:rsid w:val="008271E3"/>
    <w:rsid w:val="008304CB"/>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5947"/>
    <w:rsid w:val="008E79A5"/>
    <w:rsid w:val="008F0F2E"/>
    <w:rsid w:val="008F167A"/>
    <w:rsid w:val="008F2039"/>
    <w:rsid w:val="008F2BF7"/>
    <w:rsid w:val="008F2E9A"/>
    <w:rsid w:val="008F32C3"/>
    <w:rsid w:val="008F4882"/>
    <w:rsid w:val="008F4C67"/>
    <w:rsid w:val="008F4F70"/>
    <w:rsid w:val="008F5B0B"/>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879"/>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5E"/>
    <w:rsid w:val="00931AF4"/>
    <w:rsid w:val="009327B3"/>
    <w:rsid w:val="009329B6"/>
    <w:rsid w:val="00932F53"/>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2E39"/>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489"/>
    <w:rsid w:val="00991EA8"/>
    <w:rsid w:val="009929F6"/>
    <w:rsid w:val="00992A4D"/>
    <w:rsid w:val="00992DAF"/>
    <w:rsid w:val="009937BD"/>
    <w:rsid w:val="00993EA1"/>
    <w:rsid w:val="00993EBD"/>
    <w:rsid w:val="009951D6"/>
    <w:rsid w:val="00995433"/>
    <w:rsid w:val="00995C57"/>
    <w:rsid w:val="00996146"/>
    <w:rsid w:val="00996165"/>
    <w:rsid w:val="009968D4"/>
    <w:rsid w:val="009A0AF3"/>
    <w:rsid w:val="009A0ED1"/>
    <w:rsid w:val="009A15C1"/>
    <w:rsid w:val="009A1A25"/>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113E"/>
    <w:rsid w:val="009B16DE"/>
    <w:rsid w:val="009B2074"/>
    <w:rsid w:val="009B2310"/>
    <w:rsid w:val="009B3AFF"/>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512"/>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2840"/>
    <w:rsid w:val="00A930A8"/>
    <w:rsid w:val="00A93B3A"/>
    <w:rsid w:val="00A952F0"/>
    <w:rsid w:val="00A954CF"/>
    <w:rsid w:val="00A954D8"/>
    <w:rsid w:val="00A9564C"/>
    <w:rsid w:val="00A95803"/>
    <w:rsid w:val="00A95CDB"/>
    <w:rsid w:val="00A9671C"/>
    <w:rsid w:val="00A96A18"/>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482"/>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257"/>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4DA"/>
    <w:rsid w:val="00B20900"/>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32CB"/>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177F"/>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0F4F"/>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C98"/>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07F8"/>
    <w:rsid w:val="00C311C2"/>
    <w:rsid w:val="00C31C47"/>
    <w:rsid w:val="00C32347"/>
    <w:rsid w:val="00C323A1"/>
    <w:rsid w:val="00C33079"/>
    <w:rsid w:val="00C330DF"/>
    <w:rsid w:val="00C33133"/>
    <w:rsid w:val="00C333E9"/>
    <w:rsid w:val="00C34690"/>
    <w:rsid w:val="00C34A94"/>
    <w:rsid w:val="00C34F52"/>
    <w:rsid w:val="00C35336"/>
    <w:rsid w:val="00C354F8"/>
    <w:rsid w:val="00C36625"/>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03F"/>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E54"/>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39A9"/>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0807"/>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402F5"/>
    <w:rsid w:val="00D41585"/>
    <w:rsid w:val="00D41F54"/>
    <w:rsid w:val="00D42844"/>
    <w:rsid w:val="00D42923"/>
    <w:rsid w:val="00D43109"/>
    <w:rsid w:val="00D43312"/>
    <w:rsid w:val="00D44328"/>
    <w:rsid w:val="00D450E9"/>
    <w:rsid w:val="00D45BDE"/>
    <w:rsid w:val="00D462B7"/>
    <w:rsid w:val="00D46401"/>
    <w:rsid w:val="00D46553"/>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2F4"/>
    <w:rsid w:val="00D7510F"/>
    <w:rsid w:val="00D75638"/>
    <w:rsid w:val="00D761D3"/>
    <w:rsid w:val="00D770E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289F"/>
    <w:rsid w:val="00E13217"/>
    <w:rsid w:val="00E1324F"/>
    <w:rsid w:val="00E13667"/>
    <w:rsid w:val="00E157BC"/>
    <w:rsid w:val="00E16E40"/>
    <w:rsid w:val="00E17628"/>
    <w:rsid w:val="00E1766C"/>
    <w:rsid w:val="00E21300"/>
    <w:rsid w:val="00E222C2"/>
    <w:rsid w:val="00E22AF6"/>
    <w:rsid w:val="00E22B78"/>
    <w:rsid w:val="00E23136"/>
    <w:rsid w:val="00E23537"/>
    <w:rsid w:val="00E23EC4"/>
    <w:rsid w:val="00E24AF7"/>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6E6"/>
    <w:rsid w:val="00E448A1"/>
    <w:rsid w:val="00E44B83"/>
    <w:rsid w:val="00E44E56"/>
    <w:rsid w:val="00E45A2E"/>
    <w:rsid w:val="00E460B4"/>
    <w:rsid w:val="00E4673B"/>
    <w:rsid w:val="00E50281"/>
    <w:rsid w:val="00E50ADB"/>
    <w:rsid w:val="00E50F6F"/>
    <w:rsid w:val="00E5137D"/>
    <w:rsid w:val="00E51A92"/>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E3"/>
    <w:rsid w:val="00E77E21"/>
    <w:rsid w:val="00E80AC8"/>
    <w:rsid w:val="00E80EB2"/>
    <w:rsid w:val="00E810BF"/>
    <w:rsid w:val="00E8207E"/>
    <w:rsid w:val="00E82646"/>
    <w:rsid w:val="00E82CEF"/>
    <w:rsid w:val="00E832BB"/>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28F3"/>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67"/>
    <w:rsid w:val="00F07388"/>
    <w:rsid w:val="00F07FD6"/>
    <w:rsid w:val="00F10EF9"/>
    <w:rsid w:val="00F11B50"/>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2F5D"/>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2B14"/>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23ED"/>
    <w:rsid w:val="00FE3DE7"/>
    <w:rsid w:val="00FE3E59"/>
    <w:rsid w:val="00FE4670"/>
    <w:rsid w:val="00FE55FB"/>
    <w:rsid w:val="00FE5909"/>
    <w:rsid w:val="00FE67E7"/>
    <w:rsid w:val="00FE708A"/>
    <w:rsid w:val="00FF0507"/>
    <w:rsid w:val="00FF05DE"/>
    <w:rsid w:val="00FF0BC3"/>
    <w:rsid w:val="00FF1321"/>
    <w:rsid w:val="00FF246E"/>
    <w:rsid w:val="00FF3826"/>
    <w:rsid w:val="00FF3C83"/>
    <w:rsid w:val="00FF4802"/>
    <w:rsid w:val="00FF4FF4"/>
    <w:rsid w:val="00FF5002"/>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76B0D5D-D666-426E-85AB-D845DE07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C98"/>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82646364">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24456094">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Props1.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A2417D-FB30-4CC8-A6D3-5A4ED8DC02DD}">
  <ds:schemaRefs>
    <ds:schemaRef ds:uri="http://schemas.microsoft.com/sharepoint/events"/>
  </ds:schemaRefs>
</ds:datastoreItem>
</file>

<file path=customXml/itemProps3.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5.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65</TotalTime>
  <Pages>8</Pages>
  <Words>3187</Words>
  <Characters>18170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21315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18</cp:revision>
  <dcterms:created xsi:type="dcterms:W3CDTF">2023-09-27T21:56:00Z</dcterms:created>
  <dcterms:modified xsi:type="dcterms:W3CDTF">2023-09-28T20:49:00Z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